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E5CDE" w14:textId="77777777" w:rsidR="0001341B" w:rsidRPr="00975A22" w:rsidRDefault="008F74D9">
      <w:pPr>
        <w:pStyle w:val="Ttulo6"/>
        <w:rPr>
          <w:lang w:val="es-PE"/>
        </w:rPr>
      </w:pPr>
      <w:bookmarkStart w:id="0" w:name="xxxx-xxx-xxxxxx"/>
      <w:r w:rsidRPr="00975A22">
        <w:rPr>
          <w:lang w:val="es-PE"/>
        </w:rPr>
        <w:t>XXXX-XXX-XXXXXX</w:t>
      </w:r>
    </w:p>
    <w:p w14:paraId="231D8F82" w14:textId="77777777" w:rsidR="0001341B" w:rsidRPr="00975A22" w:rsidRDefault="008F74D9">
      <w:pPr>
        <w:pStyle w:val="Ttulo3"/>
        <w:rPr>
          <w:lang w:val="es-PE"/>
        </w:rPr>
      </w:pPr>
      <w:bookmarkStart w:id="1" w:name="lima-1-de-julio-de-2021"/>
      <w:bookmarkEnd w:id="0"/>
      <w:r w:rsidRPr="00975A22">
        <w:rPr>
          <w:lang w:val="es-PE"/>
        </w:rPr>
        <w:t>Lima, 1 de julio de 2021</w:t>
      </w:r>
    </w:p>
    <w:p w14:paraId="4017466B" w14:textId="77777777" w:rsidR="0001341B" w:rsidRPr="00975A22" w:rsidRDefault="008F74D9">
      <w:pPr>
        <w:pStyle w:val="Ttulo1"/>
        <w:rPr>
          <w:lang w:val="es-PE"/>
        </w:rPr>
      </w:pPr>
      <w:bookmarkStart w:id="2" w:name="numerodocumento"/>
      <w:bookmarkEnd w:id="1"/>
      <w:r w:rsidRPr="00975A22">
        <w:rPr>
          <w:lang w:val="es-PE"/>
        </w:rPr>
        <w:t>${numeroDocumento}</w:t>
      </w:r>
    </w:p>
    <w:p w14:paraId="57F548B1" w14:textId="175DA1E2" w:rsidR="0001341B" w:rsidRPr="00975A22" w:rsidRDefault="008F74D9">
      <w:pPr>
        <w:pStyle w:val="Ttulo3"/>
        <w:rPr>
          <w:lang w:val="es-PE"/>
        </w:rPr>
      </w:pPr>
      <w:bookmarkStart w:id="3" w:name="sra"/>
      <w:r w:rsidRPr="00975A22">
        <w:rPr>
          <w:lang w:val="es-PE"/>
        </w:rPr>
        <w:t>S</w:t>
      </w:r>
      <w:r w:rsidR="00975A22">
        <w:rPr>
          <w:lang w:val="es-PE"/>
        </w:rPr>
        <w:t>eñor(a)</w:t>
      </w:r>
    </w:p>
    <w:p w14:paraId="02DACDE9" w14:textId="0DFB1CD3" w:rsidR="003C7C81" w:rsidRPr="003C7C81" w:rsidRDefault="008F74D9" w:rsidP="003C7C81">
      <w:pPr>
        <w:pStyle w:val="Ttulo3"/>
        <w:rPr>
          <w:b/>
          <w:bCs/>
          <w:lang w:val="es-PE"/>
        </w:rPr>
      </w:pPr>
      <w:bookmarkStart w:id="4" w:name="Xf0a43dba8a117ecc03d8242b1763aa95c955daa"/>
      <w:bookmarkEnd w:id="3"/>
      <w:r w:rsidRPr="00975A22">
        <w:rPr>
          <w:b/>
          <w:bCs/>
          <w:lang w:val="es-PE"/>
        </w:rPr>
        <w:t>Jefe</w:t>
      </w:r>
      <w:r w:rsidR="00975A22" w:rsidRPr="00975A22">
        <w:rPr>
          <w:b/>
          <w:bCs/>
          <w:lang w:val="es-PE"/>
        </w:rPr>
        <w:t>(</w:t>
      </w:r>
      <w:r w:rsidRPr="00975A22">
        <w:rPr>
          <w:b/>
          <w:bCs/>
          <w:lang w:val="es-PE"/>
        </w:rPr>
        <w:t>a</w:t>
      </w:r>
      <w:r w:rsidR="00975A22" w:rsidRPr="00975A22">
        <w:rPr>
          <w:b/>
          <w:bCs/>
          <w:lang w:val="es-PE"/>
        </w:rPr>
        <w:t>)</w:t>
      </w:r>
      <w:r w:rsidRPr="00975A22">
        <w:rPr>
          <w:b/>
          <w:bCs/>
          <w:lang w:val="es-PE"/>
        </w:rPr>
        <w:t xml:space="preserve"> del Órgano de Control Institucional</w:t>
      </w:r>
    </w:p>
    <w:p w14:paraId="5FA0288A" w14:textId="77777777" w:rsidR="0001341B" w:rsidRPr="00975A22" w:rsidRDefault="008F74D9">
      <w:pPr>
        <w:pStyle w:val="Ttulo3"/>
        <w:rPr>
          <w:lang w:val="es-PE"/>
        </w:rPr>
      </w:pPr>
      <w:bookmarkStart w:id="5" w:name="jr.-lima-xx-cercado-de-lima"/>
      <w:bookmarkEnd w:id="4"/>
      <w:r w:rsidRPr="00975A22">
        <w:rPr>
          <w:lang w:val="es-PE"/>
        </w:rPr>
        <w:t>Jr. Lima XX, Cercado de Lima</w:t>
      </w:r>
    </w:p>
    <w:p w14:paraId="1E40324B" w14:textId="77777777" w:rsidR="0001341B" w:rsidRDefault="008F74D9">
      <w:pPr>
        <w:pStyle w:val="Ttulo4"/>
      </w:pPr>
      <w:bookmarkStart w:id="6" w:name="lima.-"/>
      <w:r>
        <w:t>LIMA.-</w:t>
      </w:r>
    </w:p>
    <w:tbl>
      <w:tblPr>
        <w:tblStyle w:val="Table"/>
        <w:tblW w:w="5000" w:type="pct"/>
        <w:tblLook w:val="0000" w:firstRow="0" w:lastRow="0" w:firstColumn="0" w:lastColumn="0" w:noHBand="0" w:noVBand="0"/>
      </w:tblPr>
      <w:tblGrid>
        <w:gridCol w:w="1492"/>
        <w:gridCol w:w="316"/>
        <w:gridCol w:w="7030"/>
      </w:tblGrid>
      <w:tr w:rsidR="0001341B" w:rsidRPr="003C7C81" w14:paraId="486FD722" w14:textId="77777777" w:rsidTr="00975A22">
        <w:tc>
          <w:tcPr>
            <w:tcW w:w="0" w:type="auto"/>
          </w:tcPr>
          <w:p w14:paraId="1FD619E6" w14:textId="77777777" w:rsidR="0001341B" w:rsidRDefault="008F74D9">
            <w:pPr>
              <w:pStyle w:val="Compact"/>
              <w:jc w:val="left"/>
            </w:pPr>
            <w:r>
              <w:t>Asunto</w:t>
            </w:r>
          </w:p>
        </w:tc>
        <w:tc>
          <w:tcPr>
            <w:tcW w:w="0" w:type="auto"/>
          </w:tcPr>
          <w:p w14:paraId="73AC5E4C" w14:textId="77777777" w:rsidR="0001341B" w:rsidRDefault="008F74D9">
            <w:pPr>
              <w:pStyle w:val="Compact"/>
              <w:jc w:val="left"/>
            </w:pPr>
            <w:r>
              <w:t>:</w:t>
            </w:r>
          </w:p>
        </w:tc>
        <w:tc>
          <w:tcPr>
            <w:tcW w:w="0" w:type="auto"/>
          </w:tcPr>
          <w:p w14:paraId="36AA9055" w14:textId="1511A53C" w:rsidR="00975A22" w:rsidRPr="00975A22" w:rsidRDefault="00975A22" w:rsidP="00DE7BDF">
            <w:pPr>
              <w:pStyle w:val="Compact"/>
              <w:jc w:val="left"/>
              <w:rPr>
                <w:lang w:val="es-PE"/>
              </w:rPr>
            </w:pPr>
            <w:r w:rsidRPr="00375542">
              <w:rPr>
                <w:rFonts w:ascii="Aparajita" w:hAnsi="Aparajita" w:cs="Aparajita"/>
                <w:lang w:val="es-PE"/>
              </w:rPr>
              <w:t xml:space="preserve">Presunto incumplimiento funcional en el trámite de la denuncia ambiental identificada con </w:t>
            </w:r>
          </w:p>
        </w:tc>
      </w:tr>
      <w:tr w:rsidR="0001341B" w14:paraId="19936833" w14:textId="77777777" w:rsidTr="00975A22">
        <w:tc>
          <w:tcPr>
            <w:tcW w:w="0" w:type="auto"/>
          </w:tcPr>
          <w:p w14:paraId="505D50CF" w14:textId="38831B83" w:rsidR="0001341B" w:rsidRDefault="008F74D9">
            <w:pPr>
              <w:pStyle w:val="Compact"/>
              <w:jc w:val="left"/>
            </w:pPr>
            <w:r>
              <w:t>Referencia</w:t>
            </w:r>
            <w:r w:rsidR="00975A22">
              <w:t>s</w:t>
            </w:r>
          </w:p>
        </w:tc>
        <w:tc>
          <w:tcPr>
            <w:tcW w:w="0" w:type="auto"/>
          </w:tcPr>
          <w:p w14:paraId="26F1F017" w14:textId="77777777" w:rsidR="0001341B" w:rsidRDefault="008F74D9">
            <w:pPr>
              <w:pStyle w:val="Compact"/>
              <w:jc w:val="left"/>
            </w:pPr>
            <w:r>
              <w:t>:</w:t>
            </w:r>
          </w:p>
        </w:tc>
        <w:tc>
          <w:tcPr>
            <w:tcW w:w="0" w:type="auto"/>
          </w:tcPr>
          <w:p w14:paraId="2A94627F" w14:textId="77777777" w:rsidR="0001341B" w:rsidRDefault="008F74D9">
            <w:pPr>
              <w:pStyle w:val="Compact"/>
              <w:jc w:val="left"/>
            </w:pPr>
            <w:r>
              <w:t>OFICIO N° XXXX-XXXX-XXXX/XXXX-XXXX</w:t>
            </w:r>
          </w:p>
        </w:tc>
      </w:tr>
      <w:tr w:rsidR="0001341B" w14:paraId="6F000262" w14:textId="77777777" w:rsidTr="00975A22">
        <w:tc>
          <w:tcPr>
            <w:tcW w:w="0" w:type="auto"/>
          </w:tcPr>
          <w:p w14:paraId="471119A2" w14:textId="77777777" w:rsidR="0001341B" w:rsidRDefault="0001341B"/>
        </w:tc>
        <w:tc>
          <w:tcPr>
            <w:tcW w:w="0" w:type="auto"/>
          </w:tcPr>
          <w:p w14:paraId="76114306" w14:textId="77777777" w:rsidR="0001341B" w:rsidRDefault="0001341B"/>
        </w:tc>
        <w:tc>
          <w:tcPr>
            <w:tcW w:w="0" w:type="auto"/>
          </w:tcPr>
          <w:p w14:paraId="0F4541F5" w14:textId="77777777" w:rsidR="0001341B" w:rsidRDefault="008F74D9">
            <w:pPr>
              <w:pStyle w:val="Compact"/>
              <w:jc w:val="left"/>
            </w:pPr>
            <w:r>
              <w:t>OFICIO N° XXXX-XXXX-XXXX/XXXX-XXXX</w:t>
            </w:r>
          </w:p>
        </w:tc>
      </w:tr>
    </w:tbl>
    <w:p w14:paraId="6E685426" w14:textId="6D887123" w:rsidR="0001341B" w:rsidRPr="00975A22" w:rsidRDefault="008F74D9">
      <w:pPr>
        <w:pStyle w:val="Textoindependiente"/>
        <w:rPr>
          <w:lang w:val="es-PE"/>
        </w:rPr>
      </w:pPr>
      <w:r w:rsidRPr="00975A22">
        <w:rPr>
          <w:lang w:val="es-PE"/>
        </w:rPr>
        <w:t>De mi consideración:</w:t>
      </w:r>
    </w:p>
    <w:p w14:paraId="2D258FA3" w14:textId="60FCA9C4" w:rsidR="00B116F2" w:rsidRDefault="00B116F2">
      <w:pPr>
        <w:pStyle w:val="Textoindependiente"/>
        <w:rPr>
          <w:lang w:val="es-PE"/>
        </w:rPr>
      </w:pPr>
      <w:r w:rsidRPr="00B116F2">
        <w:rPr>
          <w:lang w:val="es-PE"/>
        </w:rPr>
        <w:t>Es grato dirigirme a usted para saludarlo cordialmente y, a su vez, hacer de su conocimiento el incumplimiento de remisión de la información pública ambiental por parte de</w:t>
      </w:r>
      <w:r>
        <w:rPr>
          <w:lang w:val="es-PE"/>
        </w:rPr>
        <w:t xml:space="preserve"> la </w:t>
      </w:r>
      <w:r w:rsidRPr="00B116F2">
        <w:rPr>
          <w:lang w:val="es-PE"/>
        </w:rPr>
        <w:t>solicitada mediante los documentos de la referencia.</w:t>
      </w:r>
    </w:p>
    <w:p w14:paraId="5173A4C3" w14:textId="77FAE108" w:rsidR="00B116F2" w:rsidRDefault="00B116F2">
      <w:pPr>
        <w:pStyle w:val="Textoindependiente"/>
        <w:rPr>
          <w:lang w:val="es-PE"/>
        </w:rPr>
      </w:pPr>
      <w:r w:rsidRPr="00B116F2">
        <w:rPr>
          <w:lang w:val="es-PE"/>
        </w:rPr>
        <w:t>Sobre el particular, se debe informar que el Servicio de Información Nacional y Denuncias Ambientales (Sinada) es un servicio de alcance nacional que canaliza las denuncias ambientales e informa al ciudadano sobre las acciones desarrolladas por las Entidades de Fiscalización Ambiental (EFA) con relación a la problemática ambiental denunciada en virtud de lo establecido en la Ley General del Ambiente</w:t>
      </w:r>
      <w:r>
        <w:rPr>
          <w:rStyle w:val="Refdenotaalpie"/>
          <w:lang w:val="es-PE"/>
        </w:rPr>
        <w:footnoteReference w:id="1"/>
      </w:r>
      <w:r w:rsidRPr="00B116F2">
        <w:rPr>
          <w:lang w:val="es-PE"/>
        </w:rPr>
        <w:t xml:space="preserve"> y en el Reglamento sobre Transparencia, Acceso a la Información Pública Ambiental y Participación y Consulta Ciudadana en Asuntos Ambientales</w:t>
      </w:r>
      <w:r>
        <w:rPr>
          <w:rStyle w:val="Refdenotaalpie"/>
          <w:lang w:val="es-PE"/>
        </w:rPr>
        <w:footnoteReference w:id="2"/>
      </w:r>
      <w:r w:rsidRPr="00B116F2">
        <w:rPr>
          <w:lang w:val="es-PE"/>
        </w:rPr>
        <w:t>.</w:t>
      </w:r>
    </w:p>
    <w:p w14:paraId="4F9A1D7A" w14:textId="77777777" w:rsidR="00B116F2" w:rsidRDefault="00B116F2">
      <w:pPr>
        <w:pStyle w:val="Textoindependiente"/>
        <w:rPr>
          <w:lang w:val="es-PE"/>
        </w:rPr>
      </w:pPr>
    </w:p>
    <w:p w14:paraId="6E97FAE5" w14:textId="6ABD2339" w:rsidR="00B116F2" w:rsidRPr="00B116F2" w:rsidRDefault="00B116F2">
      <w:pPr>
        <w:pStyle w:val="Textoindependiente"/>
        <w:rPr>
          <w:lang w:val="es-PE"/>
        </w:rPr>
      </w:pPr>
      <w:r w:rsidRPr="00B116F2">
        <w:rPr>
          <w:lang w:val="es-PE"/>
        </w:rPr>
        <w:lastRenderedPageBreak/>
        <w:t>Cabe precisar que, el incumplimiento de funciones de fiscalización ambiental</w:t>
      </w:r>
      <w:r>
        <w:rPr>
          <w:rStyle w:val="Refdenotaalpie"/>
          <w:lang w:val="es-PE"/>
        </w:rPr>
        <w:footnoteReference w:id="3"/>
      </w:r>
      <w:r w:rsidRPr="00B116F2">
        <w:rPr>
          <w:lang w:val="es-PE"/>
        </w:rPr>
        <w:t>, así como de remisión de información pública ambiental, acarrean responsabilidades funcionales, laborales y penales</w:t>
      </w:r>
      <w:r>
        <w:rPr>
          <w:rStyle w:val="Refdenotaalpie"/>
          <w:lang w:val="es-PE"/>
        </w:rPr>
        <w:footnoteReference w:id="4"/>
      </w:r>
      <w:r w:rsidRPr="00B116F2">
        <w:rPr>
          <w:lang w:val="es-PE"/>
        </w:rPr>
        <w:t>.</w:t>
      </w:r>
    </w:p>
    <w:p w14:paraId="19319925" w14:textId="77777777" w:rsidR="00B116F2" w:rsidRDefault="00B116F2">
      <w:pPr>
        <w:pStyle w:val="Textoindependiente"/>
        <w:rPr>
          <w:lang w:val="es-PE"/>
        </w:rPr>
      </w:pPr>
      <w:r w:rsidRPr="00B116F2">
        <w:rPr>
          <w:lang w:val="es-PE"/>
        </w:rPr>
        <w:t xml:space="preserve">Sin otro particular, es propicia la ocasión para expresarle los sentimientos de mi especial estima y consideración. </w:t>
      </w:r>
    </w:p>
    <w:p w14:paraId="027EAD84" w14:textId="3FB95C5E" w:rsidR="00B26C11" w:rsidRPr="00B26C11" w:rsidRDefault="00B26C11">
      <w:pPr>
        <w:pStyle w:val="Textoindependiente"/>
        <w:rPr>
          <w:lang w:val="es-PE"/>
        </w:rPr>
      </w:pPr>
      <w:r w:rsidRPr="00B26C11">
        <w:rPr>
          <w:lang w:val="es-PE"/>
        </w:rPr>
        <w:t>Atentamente,</w:t>
      </w:r>
    </w:p>
    <w:p w14:paraId="41EDCD68" w14:textId="42E352BB" w:rsidR="0001341B" w:rsidRDefault="0001341B">
      <w:pPr>
        <w:pStyle w:val="Textoindependiente"/>
      </w:pPr>
    </w:p>
    <w:tbl>
      <w:tblPr>
        <w:tblStyle w:val="Table"/>
        <w:tblpPr w:leftFromText="141" w:rightFromText="141" w:vertAnchor="text" w:tblpY="1"/>
        <w:tblOverlap w:val="never"/>
        <w:tblW w:w="0" w:type="pct"/>
        <w:tblLook w:val="0000" w:firstRow="0" w:lastRow="0" w:firstColumn="0" w:lastColumn="0" w:noHBand="0" w:noVBand="0"/>
      </w:tblPr>
      <w:tblGrid>
        <w:gridCol w:w="222"/>
        <w:gridCol w:w="222"/>
        <w:gridCol w:w="222"/>
      </w:tblGrid>
      <w:tr w:rsidR="0001341B" w14:paraId="2B7CA695" w14:textId="77777777" w:rsidTr="00B26C11">
        <w:tc>
          <w:tcPr>
            <w:tcW w:w="0" w:type="auto"/>
          </w:tcPr>
          <w:p w14:paraId="5AEDF163" w14:textId="77777777" w:rsidR="0001341B" w:rsidRDefault="0001341B" w:rsidP="00B26C11"/>
        </w:tc>
        <w:tc>
          <w:tcPr>
            <w:tcW w:w="0" w:type="auto"/>
          </w:tcPr>
          <w:p w14:paraId="75523E4D" w14:textId="77777777" w:rsidR="0001341B" w:rsidRDefault="0001341B" w:rsidP="00B26C11"/>
        </w:tc>
        <w:tc>
          <w:tcPr>
            <w:tcW w:w="0" w:type="auto"/>
          </w:tcPr>
          <w:p w14:paraId="6F2CF9EB" w14:textId="77777777" w:rsidR="0001341B" w:rsidRDefault="0001341B" w:rsidP="00B26C11"/>
        </w:tc>
      </w:tr>
      <w:tr w:rsidR="0001341B" w14:paraId="5F755A64" w14:textId="77777777" w:rsidTr="00B26C11">
        <w:tc>
          <w:tcPr>
            <w:tcW w:w="0" w:type="auto"/>
          </w:tcPr>
          <w:p w14:paraId="680F5F7E" w14:textId="77777777" w:rsidR="0001341B" w:rsidRDefault="0001341B" w:rsidP="00B26C11"/>
        </w:tc>
        <w:tc>
          <w:tcPr>
            <w:tcW w:w="0" w:type="auto"/>
          </w:tcPr>
          <w:p w14:paraId="30CF5BE9" w14:textId="77777777" w:rsidR="0001341B" w:rsidRDefault="0001341B" w:rsidP="00B26C11"/>
        </w:tc>
        <w:tc>
          <w:tcPr>
            <w:tcW w:w="0" w:type="auto"/>
          </w:tcPr>
          <w:p w14:paraId="1E05CC25" w14:textId="77777777" w:rsidR="0001341B" w:rsidRDefault="0001341B" w:rsidP="00B26C11"/>
        </w:tc>
      </w:tr>
      <w:tr w:rsidR="0001341B" w14:paraId="733231F8" w14:textId="77777777" w:rsidTr="00B26C11">
        <w:tc>
          <w:tcPr>
            <w:tcW w:w="0" w:type="auto"/>
          </w:tcPr>
          <w:p w14:paraId="34199BF3" w14:textId="77777777" w:rsidR="0001341B" w:rsidRDefault="0001341B" w:rsidP="00B26C11"/>
        </w:tc>
        <w:tc>
          <w:tcPr>
            <w:tcW w:w="0" w:type="auto"/>
          </w:tcPr>
          <w:p w14:paraId="55808926" w14:textId="77777777" w:rsidR="0001341B" w:rsidRDefault="0001341B" w:rsidP="00B26C11"/>
        </w:tc>
        <w:tc>
          <w:tcPr>
            <w:tcW w:w="0" w:type="auto"/>
          </w:tcPr>
          <w:p w14:paraId="3F1A68C5" w14:textId="77777777" w:rsidR="0001341B" w:rsidRDefault="0001341B" w:rsidP="00B26C11"/>
        </w:tc>
      </w:tr>
      <w:tr w:rsidR="0001341B" w14:paraId="4FFE5BAC" w14:textId="77777777" w:rsidTr="00B26C11">
        <w:tc>
          <w:tcPr>
            <w:tcW w:w="0" w:type="auto"/>
          </w:tcPr>
          <w:p w14:paraId="67B3E037" w14:textId="77777777" w:rsidR="0001341B" w:rsidRDefault="0001341B" w:rsidP="00B26C11"/>
        </w:tc>
        <w:tc>
          <w:tcPr>
            <w:tcW w:w="0" w:type="auto"/>
          </w:tcPr>
          <w:p w14:paraId="7AAD982F" w14:textId="77777777" w:rsidR="0001341B" w:rsidRDefault="0001341B" w:rsidP="00B26C11"/>
        </w:tc>
        <w:tc>
          <w:tcPr>
            <w:tcW w:w="0" w:type="auto"/>
          </w:tcPr>
          <w:p w14:paraId="70B44D17" w14:textId="77777777" w:rsidR="0001341B" w:rsidRDefault="0001341B" w:rsidP="00B26C11"/>
        </w:tc>
      </w:tr>
      <w:tr w:rsidR="0001341B" w14:paraId="73D05D28" w14:textId="77777777" w:rsidTr="00B26C11">
        <w:tc>
          <w:tcPr>
            <w:tcW w:w="0" w:type="auto"/>
          </w:tcPr>
          <w:p w14:paraId="6C0FBA1C" w14:textId="77777777" w:rsidR="0001341B" w:rsidRDefault="0001341B" w:rsidP="00B26C11"/>
        </w:tc>
        <w:tc>
          <w:tcPr>
            <w:tcW w:w="0" w:type="auto"/>
          </w:tcPr>
          <w:p w14:paraId="3263C234" w14:textId="77777777" w:rsidR="0001341B" w:rsidRDefault="0001341B" w:rsidP="00B26C11"/>
        </w:tc>
        <w:tc>
          <w:tcPr>
            <w:tcW w:w="0" w:type="auto"/>
          </w:tcPr>
          <w:p w14:paraId="381E0C73" w14:textId="77777777" w:rsidR="0001341B" w:rsidRDefault="0001341B" w:rsidP="00B26C11"/>
        </w:tc>
      </w:tr>
    </w:tbl>
    <w:p w14:paraId="7CCED135" w14:textId="77777777" w:rsidR="00B26C11" w:rsidRDefault="00B26C11">
      <w:pPr>
        <w:pStyle w:val="FirstParagraph"/>
        <w:rPr>
          <w:b/>
          <w:bCs/>
        </w:rPr>
      </w:pPr>
    </w:p>
    <w:p w14:paraId="2A3AAB52" w14:textId="77777777" w:rsidR="00B26C11" w:rsidRPr="00B26C11" w:rsidRDefault="00B26C11" w:rsidP="00B26C11"/>
    <w:p w14:paraId="38CE2E6F" w14:textId="77777777" w:rsidR="00B26C11" w:rsidRPr="00B26C11" w:rsidRDefault="00B26C11" w:rsidP="00B26C11"/>
    <w:p w14:paraId="75E74B02" w14:textId="77777777" w:rsidR="00B26C11" w:rsidRDefault="00B26C11">
      <w:pPr>
        <w:pStyle w:val="FirstParagraph"/>
        <w:rPr>
          <w:b/>
          <w:bCs/>
        </w:rPr>
      </w:pPr>
    </w:p>
    <w:p w14:paraId="1B92CF61" w14:textId="3467F4B3" w:rsidR="0001341B" w:rsidRDefault="00B26C11" w:rsidP="00B26C11">
      <w:pPr>
        <w:pStyle w:val="FirstParagraph"/>
        <w:tabs>
          <w:tab w:val="left" w:pos="2484"/>
        </w:tabs>
        <w:rPr>
          <w:b/>
          <w:bCs/>
        </w:rPr>
      </w:pPr>
      <w:r>
        <w:rPr>
          <w:b/>
          <w:bCs/>
        </w:rPr>
        <w:tab/>
      </w:r>
      <w:r>
        <w:rPr>
          <w:b/>
          <w:bCs/>
        </w:rPr>
        <w:br w:type="textWrapping" w:clear="all"/>
      </w:r>
      <w:r w:rsidR="008F74D9">
        <w:rPr>
          <w:b/>
          <w:bCs/>
        </w:rPr>
        <w:t>[]</w:t>
      </w:r>
    </w:p>
    <w:bookmarkEnd w:id="2"/>
    <w:bookmarkEnd w:id="5"/>
    <w:bookmarkEnd w:id="6"/>
    <w:p w14:paraId="6A2A7BDA" w14:textId="6D3CD75F" w:rsidR="0001341B" w:rsidRPr="00B116F2" w:rsidRDefault="00B116F2" w:rsidP="00B116F2">
      <w:pPr>
        <w:pStyle w:val="Ttulo5"/>
        <w:rPr>
          <w:lang w:val="es-PE"/>
        </w:rPr>
      </w:pPr>
      <w:r w:rsidRPr="00B116F2">
        <w:rPr>
          <w:lang w:val="es-PE"/>
        </w:rPr>
        <w:t xml:space="preserve">Se adjunta: </w:t>
      </w:r>
      <w:r w:rsidR="0042580B">
        <w:rPr>
          <w:lang w:val="es-PE"/>
        </w:rPr>
        <w:t>Los cargos de los documentos OFICIO XXX, OFICIO XXX</w:t>
      </w:r>
    </w:p>
    <w:sectPr w:rsidR="0001341B" w:rsidRPr="00B116F2" w:rsidSect="00B116F2">
      <w:headerReference w:type="default" r:id="rId8"/>
      <w:pgSz w:w="12240" w:h="15840"/>
      <w:pgMar w:top="1417" w:right="1701" w:bottom="1560" w:left="1701" w:header="28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2B459" w14:textId="77777777" w:rsidR="00EF12D3" w:rsidRDefault="00EF12D3">
      <w:pPr>
        <w:spacing w:before="0"/>
      </w:pPr>
      <w:r>
        <w:separator/>
      </w:r>
    </w:p>
  </w:endnote>
  <w:endnote w:type="continuationSeparator" w:id="0">
    <w:p w14:paraId="540461B0" w14:textId="77777777" w:rsidR="00EF12D3" w:rsidRDefault="00EF12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arajita">
    <w:altName w:val="Aparajita"/>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30D59" w14:textId="77777777" w:rsidR="00EF12D3" w:rsidRDefault="00EF12D3">
      <w:r>
        <w:separator/>
      </w:r>
    </w:p>
  </w:footnote>
  <w:footnote w:type="continuationSeparator" w:id="0">
    <w:p w14:paraId="55D1D7C4" w14:textId="77777777" w:rsidR="00EF12D3" w:rsidRDefault="00EF12D3">
      <w:r>
        <w:continuationSeparator/>
      </w:r>
    </w:p>
  </w:footnote>
  <w:footnote w:id="1">
    <w:p w14:paraId="3383BEE2" w14:textId="071F5D56" w:rsidR="00B116F2" w:rsidRPr="00B26C11" w:rsidRDefault="00B116F2" w:rsidP="00B116F2">
      <w:pPr>
        <w:pStyle w:val="Textonotapie"/>
        <w:tabs>
          <w:tab w:val="left" w:pos="567"/>
        </w:tabs>
        <w:ind w:left="567" w:hanging="567"/>
        <w:rPr>
          <w:b/>
          <w:bCs/>
          <w:lang w:val="es-PE"/>
        </w:rPr>
      </w:pPr>
      <w:r>
        <w:rPr>
          <w:rStyle w:val="Refdenotaalpie"/>
        </w:rPr>
        <w:footnoteRef/>
      </w:r>
      <w:r w:rsidRPr="00B116F2">
        <w:rPr>
          <w:lang w:val="es-PE"/>
        </w:rPr>
        <w:t xml:space="preserve"> </w:t>
      </w:r>
      <w:r>
        <w:rPr>
          <w:lang w:val="es-PE"/>
        </w:rPr>
        <w:t xml:space="preserve">          </w:t>
      </w:r>
      <w:r w:rsidRPr="00B26C11">
        <w:rPr>
          <w:b/>
          <w:bCs/>
          <w:lang w:val="es-PE"/>
        </w:rPr>
        <w:t xml:space="preserve">Ley N° 28611, Ley General del Ambiente </w:t>
      </w:r>
    </w:p>
    <w:p w14:paraId="603EB65F" w14:textId="77777777" w:rsidR="00B116F2" w:rsidRPr="00B26C11" w:rsidRDefault="00B116F2" w:rsidP="00B116F2">
      <w:pPr>
        <w:pStyle w:val="Textonotapie"/>
        <w:ind w:left="567" w:hanging="426"/>
        <w:rPr>
          <w:b/>
          <w:bCs/>
          <w:lang w:val="es-PE"/>
        </w:rPr>
      </w:pPr>
      <w:r w:rsidRPr="00B26C11">
        <w:rPr>
          <w:b/>
          <w:bCs/>
          <w:lang w:val="es-PE"/>
        </w:rPr>
        <w:t xml:space="preserve">         “Artículo 43.- De la información sobre denuncias presentadas </w:t>
      </w:r>
    </w:p>
    <w:p w14:paraId="124A98F8" w14:textId="2ED3BE3C" w:rsidR="00B116F2" w:rsidRDefault="00B116F2" w:rsidP="00B96EA0">
      <w:pPr>
        <w:pStyle w:val="Ttulo8"/>
        <w:rPr>
          <w:lang w:val="es-PE"/>
        </w:rPr>
      </w:pPr>
      <w:r>
        <w:rPr>
          <w:lang w:val="es-PE"/>
        </w:rPr>
        <w:t xml:space="preserve">          </w:t>
      </w:r>
      <w:r w:rsidRPr="00B26C11">
        <w:rPr>
          <w:b/>
          <w:bCs/>
          <w:lang w:val="es-PE"/>
        </w:rPr>
        <w:t>Artículo 43.1.-</w:t>
      </w:r>
      <w:r w:rsidRPr="00B26C11">
        <w:rPr>
          <w:lang w:val="es-PE"/>
        </w:rPr>
        <w:t xml:space="preserve"> Toda persona tiene derecho a conocer el estado de las denuncias que presente ante cualquier entidad pública respecto de infracciones a la normatividad ambiental (…)”</w:t>
      </w:r>
      <w:r w:rsidR="00D304DA">
        <w:rPr>
          <w:lang w:val="es-PE"/>
        </w:rPr>
        <w:t>.</w:t>
      </w:r>
    </w:p>
    <w:p w14:paraId="0C35D8D8" w14:textId="77777777" w:rsidR="00D304DA" w:rsidRPr="00B116F2" w:rsidRDefault="00D304DA" w:rsidP="00B116F2">
      <w:pPr>
        <w:pStyle w:val="Textonotapie"/>
        <w:ind w:left="567" w:hanging="426"/>
        <w:rPr>
          <w:lang w:val="es-PE"/>
        </w:rPr>
      </w:pPr>
    </w:p>
  </w:footnote>
  <w:footnote w:id="2">
    <w:p w14:paraId="07EF2E2E" w14:textId="1A524288" w:rsidR="00B116F2" w:rsidRPr="00B26C11" w:rsidRDefault="00B116F2" w:rsidP="00D304DA">
      <w:pPr>
        <w:pStyle w:val="Textonotapie"/>
        <w:tabs>
          <w:tab w:val="left" w:pos="709"/>
        </w:tabs>
        <w:ind w:left="567" w:hanging="567"/>
        <w:rPr>
          <w:b/>
          <w:bCs/>
          <w:lang w:val="es-PE"/>
        </w:rPr>
      </w:pPr>
      <w:r>
        <w:rPr>
          <w:rStyle w:val="Refdenotaalpie"/>
        </w:rPr>
        <w:footnoteRef/>
      </w:r>
      <w:r w:rsidRPr="00B116F2">
        <w:rPr>
          <w:lang w:val="es-PE"/>
        </w:rPr>
        <w:t xml:space="preserve"> </w:t>
      </w:r>
      <w:r w:rsidR="00D304DA">
        <w:rPr>
          <w:lang w:val="es-PE"/>
        </w:rPr>
        <w:t xml:space="preserve">       </w:t>
      </w:r>
      <w:r w:rsidRPr="00B26C11">
        <w:rPr>
          <w:b/>
          <w:bCs/>
          <w:lang w:val="es-PE"/>
        </w:rPr>
        <w:t xml:space="preserve">Decreto Supremo N° 002-2009-MINAM, que aprueba el Reglamento sobre Transparencia, Acceso a la información Pública Ambiental y Participación y Consulta Ciudadana en Asuntos Ambientales. </w:t>
      </w:r>
    </w:p>
    <w:p w14:paraId="7DCB5D3E" w14:textId="77777777" w:rsidR="00B116F2" w:rsidRPr="00B26C11" w:rsidRDefault="00B116F2" w:rsidP="00D304DA">
      <w:pPr>
        <w:pStyle w:val="Textonotapie"/>
        <w:tabs>
          <w:tab w:val="left" w:pos="142"/>
        </w:tabs>
        <w:ind w:left="567" w:hanging="426"/>
        <w:rPr>
          <w:b/>
          <w:bCs/>
          <w:lang w:val="es-PE"/>
        </w:rPr>
      </w:pPr>
      <w:r w:rsidRPr="00B26C11">
        <w:rPr>
          <w:b/>
          <w:bCs/>
          <w:lang w:val="es-PE"/>
        </w:rPr>
        <w:t xml:space="preserve">        “Artículo 35.- Mecanismos de participación en la fiscalización </w:t>
      </w:r>
    </w:p>
    <w:p w14:paraId="7DC51F1D" w14:textId="77777777" w:rsidR="00B116F2" w:rsidRDefault="00B116F2" w:rsidP="00D304DA">
      <w:pPr>
        <w:pStyle w:val="Textonotapie"/>
        <w:tabs>
          <w:tab w:val="left" w:pos="142"/>
        </w:tabs>
        <w:ind w:left="567" w:hanging="426"/>
        <w:rPr>
          <w:lang w:val="es-PE"/>
        </w:rPr>
      </w:pPr>
      <w:r>
        <w:rPr>
          <w:lang w:val="es-PE"/>
        </w:rPr>
        <w:t xml:space="preserve">         </w:t>
      </w:r>
      <w:r w:rsidRPr="00B26C11">
        <w:rPr>
          <w:lang w:val="es-PE"/>
        </w:rPr>
        <w:t xml:space="preserve">La participación en la fiscalización ambiental se lleva a cabo mediante mecanismos tales como: </w:t>
      </w:r>
    </w:p>
    <w:p w14:paraId="0E4784AA" w14:textId="77777777" w:rsidR="00B116F2" w:rsidRDefault="00B116F2" w:rsidP="00D304DA">
      <w:pPr>
        <w:pStyle w:val="Textonotapie"/>
        <w:tabs>
          <w:tab w:val="left" w:pos="142"/>
        </w:tabs>
        <w:ind w:left="567" w:hanging="426"/>
        <w:rPr>
          <w:lang w:val="es-PE"/>
        </w:rPr>
      </w:pPr>
      <w:r>
        <w:rPr>
          <w:lang w:val="es-PE"/>
        </w:rPr>
        <w:t xml:space="preserve">         </w:t>
      </w:r>
      <w:r w:rsidRPr="00B26C11">
        <w:rPr>
          <w:lang w:val="es-PE"/>
        </w:rPr>
        <w:t xml:space="preserve">(…) </w:t>
      </w:r>
    </w:p>
    <w:p w14:paraId="68B91B3D" w14:textId="77777777" w:rsidR="00B116F2" w:rsidRDefault="00B116F2" w:rsidP="00D304DA">
      <w:pPr>
        <w:pStyle w:val="Textonotapie"/>
        <w:tabs>
          <w:tab w:val="left" w:pos="142"/>
        </w:tabs>
        <w:ind w:left="567" w:hanging="426"/>
        <w:rPr>
          <w:lang w:val="es-PE"/>
        </w:rPr>
      </w:pPr>
      <w:r>
        <w:rPr>
          <w:lang w:val="es-PE"/>
        </w:rPr>
        <w:t xml:space="preserve">         </w:t>
      </w:r>
      <w:r w:rsidRPr="00B26C11">
        <w:rPr>
          <w:lang w:val="es-PE"/>
        </w:rPr>
        <w:t xml:space="preserve">c) Denuncia de infracciones o de amenazas de infracciones a la normatividad ambiental </w:t>
      </w:r>
    </w:p>
    <w:p w14:paraId="2056D6D1" w14:textId="77777777" w:rsidR="00B116F2" w:rsidRDefault="00B116F2" w:rsidP="00D304DA">
      <w:pPr>
        <w:pStyle w:val="Textonotapie"/>
        <w:tabs>
          <w:tab w:val="left" w:pos="142"/>
        </w:tabs>
        <w:ind w:left="567" w:hanging="426"/>
        <w:rPr>
          <w:lang w:val="es-PE"/>
        </w:rPr>
      </w:pPr>
      <w:r>
        <w:rPr>
          <w:lang w:val="es-PE"/>
        </w:rPr>
        <w:t xml:space="preserve">         </w:t>
      </w:r>
      <w:r w:rsidRPr="00B26C11">
        <w:rPr>
          <w:lang w:val="es-PE"/>
        </w:rPr>
        <w:t xml:space="preserve">(…) </w:t>
      </w:r>
    </w:p>
    <w:p w14:paraId="3E7BD9BB" w14:textId="77777777" w:rsidR="00B116F2" w:rsidRPr="00B26C11" w:rsidRDefault="00B116F2" w:rsidP="00D304DA">
      <w:pPr>
        <w:pStyle w:val="Textonotapie"/>
        <w:tabs>
          <w:tab w:val="left" w:pos="142"/>
        </w:tabs>
        <w:ind w:left="567" w:hanging="426"/>
        <w:rPr>
          <w:b/>
          <w:bCs/>
          <w:lang w:val="es-PE"/>
        </w:rPr>
      </w:pPr>
      <w:r w:rsidRPr="00B26C11">
        <w:rPr>
          <w:b/>
          <w:bCs/>
          <w:lang w:val="es-PE"/>
        </w:rPr>
        <w:t xml:space="preserve">         Artículo 38.- Denuncia por infracciones a la legislación ambiental </w:t>
      </w:r>
    </w:p>
    <w:p w14:paraId="305CB18D" w14:textId="77777777" w:rsidR="00B116F2" w:rsidRPr="00B26C11" w:rsidRDefault="00B116F2" w:rsidP="00D304DA">
      <w:pPr>
        <w:pStyle w:val="Textonotapie"/>
        <w:tabs>
          <w:tab w:val="left" w:pos="142"/>
        </w:tabs>
        <w:ind w:left="567" w:hanging="426"/>
        <w:rPr>
          <w:lang w:val="es-PE"/>
        </w:rPr>
      </w:pPr>
      <w:r>
        <w:rPr>
          <w:lang w:val="es-PE"/>
        </w:rPr>
        <w:t xml:space="preserve">         </w:t>
      </w:r>
      <w:r w:rsidRPr="00B26C11">
        <w:rPr>
          <w:lang w:val="es-PE"/>
        </w:rPr>
        <w:t>Cualquier persona puede denunciar ante las instancias correspondientes el incumplimiento de alguna norma ambiental, acompañando los elementos probatorios del caso. Si la denuncia fuera maliciosa, el denunciante deberá asumir los costos originados por la acción de la fiscalización”.</w:t>
      </w:r>
    </w:p>
    <w:p w14:paraId="1C32C3BD" w14:textId="6F144729" w:rsidR="00B116F2" w:rsidRPr="00B116F2" w:rsidRDefault="00B116F2">
      <w:pPr>
        <w:pStyle w:val="Textonotapie"/>
        <w:rPr>
          <w:lang w:val="es-PE"/>
        </w:rPr>
      </w:pPr>
    </w:p>
  </w:footnote>
  <w:footnote w:id="3">
    <w:p w14:paraId="3571926C" w14:textId="69F7A1BB" w:rsidR="00B116F2" w:rsidRDefault="00B116F2" w:rsidP="00D304DA">
      <w:pPr>
        <w:pStyle w:val="Textonotapie"/>
        <w:ind w:left="567" w:hanging="567"/>
        <w:rPr>
          <w:lang w:val="es-PE"/>
        </w:rPr>
      </w:pPr>
      <w:r>
        <w:rPr>
          <w:rStyle w:val="Refdenotaalpie"/>
        </w:rPr>
        <w:footnoteRef/>
      </w:r>
      <w:r w:rsidRPr="00B116F2">
        <w:rPr>
          <w:lang w:val="es-PE"/>
        </w:rPr>
        <w:t xml:space="preserve"> </w:t>
      </w:r>
      <w:r w:rsidR="00D304DA">
        <w:rPr>
          <w:lang w:val="es-PE"/>
        </w:rPr>
        <w:t xml:space="preserve">          </w:t>
      </w:r>
      <w:r w:rsidRPr="009B4763">
        <w:rPr>
          <w:b/>
          <w:bCs/>
          <w:lang w:val="es-PE"/>
        </w:rPr>
        <w:t>Ley Nº 29325, Ley del Sistema Nacional de Evaluación y Fiscalización Ambiental, modificada por la Ley 30011. “Artículo 11°. - Funciones Generales</w:t>
      </w:r>
      <w:r w:rsidRPr="00B26C11">
        <w:rPr>
          <w:lang w:val="es-PE"/>
        </w:rPr>
        <w:t xml:space="preserve"> </w:t>
      </w:r>
    </w:p>
    <w:p w14:paraId="610B1578" w14:textId="65223C2F" w:rsidR="00B116F2" w:rsidRDefault="00B116F2" w:rsidP="00D304DA">
      <w:pPr>
        <w:pStyle w:val="Textonotapie"/>
        <w:ind w:left="567" w:hanging="567"/>
        <w:rPr>
          <w:lang w:val="es-PE"/>
        </w:rPr>
      </w:pPr>
      <w:r>
        <w:rPr>
          <w:lang w:val="es-PE"/>
        </w:rPr>
        <w:t xml:space="preserve">         </w:t>
      </w:r>
      <w:r w:rsidR="00D304DA">
        <w:rPr>
          <w:lang w:val="es-PE"/>
        </w:rPr>
        <w:t xml:space="preserve">   </w:t>
      </w:r>
      <w:r w:rsidRPr="00B26C11">
        <w:rPr>
          <w:lang w:val="es-PE"/>
        </w:rPr>
        <w:t xml:space="preserve">Son funciones generales del OEFA: </w:t>
      </w:r>
    </w:p>
    <w:p w14:paraId="01438D71" w14:textId="086AA2DB" w:rsidR="00B116F2" w:rsidRDefault="00B116F2" w:rsidP="00D304DA">
      <w:pPr>
        <w:pStyle w:val="Textonotapie"/>
        <w:ind w:left="567" w:hanging="567"/>
        <w:rPr>
          <w:lang w:val="es-PE"/>
        </w:rPr>
      </w:pPr>
      <w:r>
        <w:rPr>
          <w:lang w:val="es-PE"/>
        </w:rPr>
        <w:t xml:space="preserve">        </w:t>
      </w:r>
      <w:r w:rsidR="00D304DA">
        <w:rPr>
          <w:lang w:val="es-PE"/>
        </w:rPr>
        <w:t xml:space="preserve">   </w:t>
      </w:r>
      <w:r>
        <w:rPr>
          <w:lang w:val="es-PE"/>
        </w:rPr>
        <w:t xml:space="preserve"> </w:t>
      </w:r>
      <w:r w:rsidRPr="00B26C11">
        <w:rPr>
          <w:lang w:val="es-PE"/>
        </w:rPr>
        <w:t xml:space="preserve">(…) </w:t>
      </w:r>
    </w:p>
    <w:p w14:paraId="1795CA4C" w14:textId="056F7FAB" w:rsidR="00B116F2" w:rsidRDefault="00B116F2" w:rsidP="00D304DA">
      <w:pPr>
        <w:pStyle w:val="Textonotapie"/>
        <w:ind w:left="567" w:hanging="567"/>
        <w:rPr>
          <w:lang w:val="es-PE"/>
        </w:rPr>
      </w:pPr>
      <w:r>
        <w:rPr>
          <w:lang w:val="es-PE"/>
        </w:rPr>
        <w:t xml:space="preserve">         </w:t>
      </w:r>
      <w:r w:rsidR="00D304DA">
        <w:rPr>
          <w:lang w:val="es-PE"/>
        </w:rPr>
        <w:t xml:space="preserve">   </w:t>
      </w:r>
      <w:r w:rsidRPr="00B26C11">
        <w:rPr>
          <w:lang w:val="es-PE"/>
        </w:rPr>
        <w:t>11.2 El OEFA, en su calidad de ente rector del Sistema Nacional de Evaluación y Fiscalización Ambiental</w:t>
      </w:r>
      <w:r>
        <w:rPr>
          <w:lang w:val="es-PE"/>
        </w:rPr>
        <w:t xml:space="preserve"> </w:t>
      </w:r>
      <w:r w:rsidRPr="00B26C11">
        <w:rPr>
          <w:lang w:val="es-PE"/>
        </w:rPr>
        <w:t>(SINEFA), ejerce las siguientes funciones:</w:t>
      </w:r>
    </w:p>
    <w:p w14:paraId="687E7975" w14:textId="633242E1" w:rsidR="00B116F2" w:rsidRDefault="00B116F2" w:rsidP="00D304DA">
      <w:pPr>
        <w:pStyle w:val="Textonotapie"/>
        <w:ind w:left="567" w:hanging="567"/>
        <w:rPr>
          <w:lang w:val="es-PE"/>
        </w:rPr>
      </w:pPr>
      <w:r>
        <w:rPr>
          <w:lang w:val="es-PE"/>
        </w:rPr>
        <w:t xml:space="preserve">        </w:t>
      </w:r>
      <w:r w:rsidR="00D304DA">
        <w:rPr>
          <w:lang w:val="es-PE"/>
        </w:rPr>
        <w:t xml:space="preserve">   </w:t>
      </w:r>
      <w:r>
        <w:rPr>
          <w:lang w:val="es-PE"/>
        </w:rPr>
        <w:t xml:space="preserve"> </w:t>
      </w:r>
      <w:r w:rsidRPr="00B26C11">
        <w:rPr>
          <w:lang w:val="es-PE"/>
        </w:rPr>
        <w:t xml:space="preserve">(…) </w:t>
      </w:r>
    </w:p>
    <w:p w14:paraId="57067D85" w14:textId="5C47A1E2" w:rsidR="00B116F2" w:rsidRDefault="00B116F2" w:rsidP="00D304DA">
      <w:pPr>
        <w:pStyle w:val="Textonotapie"/>
        <w:ind w:left="567" w:hanging="567"/>
        <w:rPr>
          <w:lang w:val="es-PE"/>
        </w:rPr>
      </w:pPr>
      <w:r>
        <w:rPr>
          <w:lang w:val="es-PE"/>
        </w:rPr>
        <w:t xml:space="preserve">         </w:t>
      </w:r>
      <w:r w:rsidR="00D304DA">
        <w:rPr>
          <w:lang w:val="es-PE"/>
        </w:rPr>
        <w:t xml:space="preserve">   </w:t>
      </w:r>
      <w:r w:rsidRPr="00B26C11">
        <w:rPr>
          <w:lang w:val="es-PE"/>
        </w:rPr>
        <w:t xml:space="preserve">b) Función supervisora de Entidades de Fiscalización Ambiental (EFA), nacional, regional o local: comprende la facultad de realizar acciones de seguimiento y verificación del desempeño de las funciones de fiscalización a cargo de entidades de fiscalización ambiental nacional, regional o local a las que se refiere el artículo 7”. </w:t>
      </w:r>
    </w:p>
    <w:p w14:paraId="2F0A2ACA" w14:textId="209D478C" w:rsidR="00B116F2" w:rsidRDefault="00B116F2" w:rsidP="00D304DA">
      <w:pPr>
        <w:pStyle w:val="Textonotapie"/>
        <w:ind w:left="567" w:hanging="567"/>
        <w:rPr>
          <w:lang w:val="es-PE"/>
        </w:rPr>
      </w:pPr>
      <w:r>
        <w:rPr>
          <w:lang w:val="es-PE"/>
        </w:rPr>
        <w:t xml:space="preserve">        </w:t>
      </w:r>
      <w:r w:rsidR="00D304DA">
        <w:rPr>
          <w:lang w:val="es-PE"/>
        </w:rPr>
        <w:t xml:space="preserve">   </w:t>
      </w:r>
      <w:r>
        <w:rPr>
          <w:lang w:val="es-PE"/>
        </w:rPr>
        <w:t xml:space="preserve"> </w:t>
      </w:r>
      <w:r w:rsidRPr="00B26C11">
        <w:rPr>
          <w:lang w:val="es-PE"/>
        </w:rPr>
        <w:t>El OEFA, en ejercicio de su función supervisora, puede establecer procedimientos para la entrega de reportes, informes técnicos y cualquier información relativa al cumplimiento de las funciones a cargo de las Entidades de Fiscalización Ambiental (EFA). El incumplimiento de las funciones antes indicadas acarrea responsabilidad funcional, lo cual es comunicado al órgano competente del Sistema Nacional de Control”.</w:t>
      </w:r>
    </w:p>
    <w:p w14:paraId="5A3A6FD7" w14:textId="34184832" w:rsidR="00B116F2" w:rsidRPr="00B116F2" w:rsidRDefault="00B116F2">
      <w:pPr>
        <w:pStyle w:val="Textonotapie"/>
        <w:rPr>
          <w:lang w:val="es-PE"/>
        </w:rPr>
      </w:pPr>
    </w:p>
  </w:footnote>
  <w:footnote w:id="4">
    <w:p w14:paraId="32C90609" w14:textId="4379E5FF" w:rsidR="00B116F2" w:rsidRPr="009B4763" w:rsidRDefault="00B116F2" w:rsidP="00D304DA">
      <w:pPr>
        <w:pStyle w:val="Textonotapie"/>
        <w:ind w:left="567" w:hanging="567"/>
        <w:rPr>
          <w:b/>
          <w:bCs/>
          <w:lang w:val="es-PE"/>
        </w:rPr>
      </w:pPr>
      <w:r>
        <w:rPr>
          <w:rStyle w:val="Refdenotaalpie"/>
        </w:rPr>
        <w:footnoteRef/>
      </w:r>
      <w:r w:rsidRPr="00B116F2">
        <w:rPr>
          <w:lang w:val="es-PE"/>
        </w:rPr>
        <w:t xml:space="preserve"> </w:t>
      </w:r>
      <w:r w:rsidR="00D304DA">
        <w:rPr>
          <w:lang w:val="es-PE"/>
        </w:rPr>
        <w:t xml:space="preserve">       </w:t>
      </w:r>
      <w:r w:rsidRPr="009B4763">
        <w:rPr>
          <w:b/>
          <w:bCs/>
          <w:lang w:val="es-PE"/>
        </w:rPr>
        <w:t xml:space="preserve">Decreto Supremo N° 002-2009-MINAM, que aprueba el Reglamento sobre Transparencia, Acceso a la Información Pública Ambiental y Participación y Consulta Ciudadana en Asuntos Ambientales </w:t>
      </w:r>
    </w:p>
    <w:p w14:paraId="64F95D83" w14:textId="6229724E" w:rsidR="00B116F2" w:rsidRPr="009B4763" w:rsidRDefault="00B116F2" w:rsidP="00D304DA">
      <w:pPr>
        <w:pStyle w:val="Textonotapie"/>
        <w:ind w:left="567" w:hanging="426"/>
        <w:rPr>
          <w:b/>
          <w:bCs/>
          <w:lang w:val="es-PE"/>
        </w:rPr>
      </w:pPr>
      <w:r w:rsidRPr="009B4763">
        <w:rPr>
          <w:b/>
          <w:bCs/>
          <w:lang w:val="es-PE"/>
        </w:rPr>
        <w:t xml:space="preserve">      </w:t>
      </w:r>
      <w:r w:rsidR="00D304DA">
        <w:rPr>
          <w:b/>
          <w:bCs/>
          <w:lang w:val="es-PE"/>
        </w:rPr>
        <w:t xml:space="preserve">   </w:t>
      </w:r>
      <w:r w:rsidRPr="009B4763">
        <w:rPr>
          <w:b/>
          <w:bCs/>
          <w:lang w:val="es-PE"/>
        </w:rPr>
        <w:t xml:space="preserve">“Artículo 13.- Obligatoriedad del cumplimiento de las disposiciones sobre acceso a la información </w:t>
      </w:r>
      <w:r w:rsidR="00D304DA">
        <w:rPr>
          <w:b/>
          <w:bCs/>
          <w:lang w:val="es-PE"/>
        </w:rPr>
        <w:t xml:space="preserve">    </w:t>
      </w:r>
      <w:r w:rsidRPr="009B4763">
        <w:rPr>
          <w:b/>
          <w:bCs/>
          <w:lang w:val="es-PE"/>
        </w:rPr>
        <w:t xml:space="preserve">pública </w:t>
      </w:r>
    </w:p>
    <w:p w14:paraId="74FD21C3" w14:textId="4D85470D" w:rsidR="00B116F2" w:rsidRPr="00B116F2" w:rsidRDefault="00B116F2" w:rsidP="00D304DA">
      <w:pPr>
        <w:pStyle w:val="Textonotapie"/>
        <w:ind w:left="567" w:hanging="425"/>
        <w:rPr>
          <w:lang w:val="es-MX"/>
        </w:rPr>
      </w:pPr>
      <w:r>
        <w:rPr>
          <w:lang w:val="es-PE"/>
        </w:rPr>
        <w:t xml:space="preserve">         </w:t>
      </w:r>
      <w:r w:rsidRPr="009B4763">
        <w:rPr>
          <w:lang w:val="es-PE"/>
        </w:rPr>
        <w:t>Los servidores que incumplan con las disposiciones sobre acceso a la información pública a que se refiere el presente Reglamento, serán sancionados de acuerdo con las normas laborales vigentes y sin perjuicio de la denuncia penal a que hubiere lugar”.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69" w:type="dxa"/>
      <w:tblCellMar>
        <w:top w:w="15" w:type="dxa"/>
        <w:left w:w="15" w:type="dxa"/>
        <w:bottom w:w="15" w:type="dxa"/>
        <w:right w:w="15" w:type="dxa"/>
      </w:tblCellMar>
      <w:tblLook w:val="04A0" w:firstRow="1" w:lastRow="0" w:firstColumn="1" w:lastColumn="0" w:noHBand="0" w:noVBand="1"/>
    </w:tblPr>
    <w:tblGrid>
      <w:gridCol w:w="1850"/>
      <w:gridCol w:w="1614"/>
      <w:gridCol w:w="2947"/>
      <w:gridCol w:w="2586"/>
    </w:tblGrid>
    <w:tr w:rsidR="00377598" w:rsidRPr="003C7C81" w14:paraId="5BAFBBCD" w14:textId="77777777" w:rsidTr="00377598">
      <w:trPr>
        <w:trHeight w:val="841"/>
      </w:trPr>
      <w:tc>
        <w:tcPr>
          <w:tcW w:w="1737" w:type="dxa"/>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1DDA1CA0" w14:textId="63E46B7A" w:rsidR="00377598" w:rsidRPr="00377598" w:rsidRDefault="008F74D9" w:rsidP="00F7487A">
          <w:pPr>
            <w:spacing w:before="0"/>
            <w:rPr>
              <w:rFonts w:ascii="Times New Roman" w:hAnsi="Times New Roman" w:cs="Times New Roman"/>
              <w:lang w:val="es-PE" w:eastAsia="es-PE"/>
            </w:rPr>
          </w:pPr>
          <w:r w:rsidRPr="00377598">
            <w:rPr>
              <w:noProof/>
              <w:bdr w:val="none" w:sz="0" w:space="0" w:color="auto" w:frame="1"/>
              <w:lang w:val="es-PE" w:eastAsia="es-PE"/>
            </w:rPr>
            <w:drawing>
              <wp:inline distT="0" distB="0" distL="0" distR="0" wp14:anchorId="5C6806CF" wp14:editId="12821D12">
                <wp:extent cx="1028700" cy="533707"/>
                <wp:effectExtent l="0" t="0" r="0" b="0"/>
                <wp:docPr id="9" name="Imagen 9" descr="LO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847" cy="540528"/>
                        </a:xfrm>
                        <a:prstGeom prst="rect">
                          <a:avLst/>
                        </a:prstGeom>
                        <a:noFill/>
                        <a:ln>
                          <a:noFill/>
                        </a:ln>
                      </pic:spPr>
                    </pic:pic>
                  </a:graphicData>
                </a:graphic>
              </wp:inline>
            </w:drawing>
          </w:r>
        </w:p>
      </w:tc>
      <w:tc>
        <w:tcPr>
          <w:tcW w:w="1666" w:type="dxa"/>
          <w:tcBorders>
            <w:top w:val="single" w:sz="4" w:space="0" w:color="FFFFFF"/>
            <w:left w:val="single" w:sz="4" w:space="0" w:color="FFFFFF"/>
            <w:bottom w:val="single" w:sz="4" w:space="0" w:color="FFFFFF"/>
            <w:right w:val="single" w:sz="4" w:space="0" w:color="FFFFFF"/>
          </w:tcBorders>
          <w:shd w:val="clear" w:color="auto" w:fill="333333"/>
          <w:tcMar>
            <w:top w:w="0" w:type="dxa"/>
            <w:left w:w="115" w:type="dxa"/>
            <w:bottom w:w="0" w:type="dxa"/>
            <w:right w:w="115" w:type="dxa"/>
          </w:tcMar>
          <w:vAlign w:val="center"/>
          <w:hideMark/>
        </w:tcPr>
        <w:p w14:paraId="5388EF67" w14:textId="77777777" w:rsidR="00377598" w:rsidRPr="004E687F" w:rsidRDefault="008F74D9" w:rsidP="00F7487A">
          <w:pPr>
            <w:spacing w:before="0"/>
            <w:rPr>
              <w:rFonts w:ascii="Times New Roman" w:hAnsi="Times New Roman" w:cs="Times New Roman"/>
              <w:color w:val="FFFFFF" w:themeColor="background1"/>
              <w:sz w:val="20"/>
              <w:szCs w:val="20"/>
              <w:lang w:val="es-PE" w:eastAsia="es-PE"/>
            </w:rPr>
          </w:pPr>
          <w:r w:rsidRPr="004E687F">
            <w:rPr>
              <w:color w:val="FFFFFF" w:themeColor="background1"/>
              <w:sz w:val="20"/>
              <w:szCs w:val="20"/>
              <w:lang w:val="es-PE" w:eastAsia="es-PE"/>
            </w:rPr>
            <w:t>Ministerio </w:t>
          </w:r>
        </w:p>
        <w:p w14:paraId="475534FC" w14:textId="77777777" w:rsidR="00377598" w:rsidRPr="004E687F" w:rsidRDefault="008F74D9" w:rsidP="00F7487A">
          <w:pPr>
            <w:spacing w:before="0"/>
            <w:rPr>
              <w:rFonts w:ascii="Times New Roman" w:hAnsi="Times New Roman" w:cs="Times New Roman"/>
              <w:b/>
              <w:bCs/>
              <w:color w:val="FFFFFF" w:themeColor="background1"/>
              <w:sz w:val="20"/>
              <w:szCs w:val="20"/>
              <w:lang w:val="es-PE" w:eastAsia="es-PE"/>
            </w:rPr>
          </w:pPr>
          <w:r w:rsidRPr="004E687F">
            <w:rPr>
              <w:color w:val="FFFFFF" w:themeColor="background1"/>
              <w:sz w:val="20"/>
              <w:szCs w:val="20"/>
              <w:lang w:val="es-PE" w:eastAsia="es-PE"/>
            </w:rPr>
            <w:t>del Ambiente</w:t>
          </w:r>
        </w:p>
      </w:tc>
      <w:tc>
        <w:tcPr>
          <w:tcW w:w="3118" w:type="dxa"/>
          <w:tcBorders>
            <w:top w:val="single" w:sz="4" w:space="0" w:color="FFFFFF"/>
            <w:left w:val="single" w:sz="4" w:space="0" w:color="FFFFFF"/>
            <w:bottom w:val="single" w:sz="4" w:space="0" w:color="FFFFFF"/>
            <w:right w:val="single" w:sz="4" w:space="0" w:color="FFFFFF"/>
          </w:tcBorders>
          <w:shd w:val="clear" w:color="auto" w:fill="7F7F7F"/>
          <w:tcMar>
            <w:top w:w="0" w:type="dxa"/>
            <w:left w:w="115" w:type="dxa"/>
            <w:bottom w:w="0" w:type="dxa"/>
            <w:right w:w="115" w:type="dxa"/>
          </w:tcMar>
          <w:vAlign w:val="center"/>
          <w:hideMark/>
        </w:tcPr>
        <w:p w14:paraId="2ADE76F9" w14:textId="77777777" w:rsidR="00377598" w:rsidRPr="004E687F" w:rsidRDefault="008F74D9" w:rsidP="00F7487A">
          <w:pPr>
            <w:spacing w:before="0"/>
            <w:jc w:val="left"/>
            <w:rPr>
              <w:rFonts w:ascii="Times New Roman" w:hAnsi="Times New Roman" w:cs="Times New Roman"/>
              <w:color w:val="FFFFFF" w:themeColor="background1"/>
              <w:sz w:val="20"/>
              <w:szCs w:val="20"/>
              <w:lang w:val="es-PE" w:eastAsia="es-PE"/>
            </w:rPr>
          </w:pPr>
          <w:r w:rsidRPr="004E687F">
            <w:rPr>
              <w:color w:val="FFFFFF" w:themeColor="background1"/>
              <w:sz w:val="20"/>
              <w:szCs w:val="20"/>
              <w:lang w:val="es-PE" w:eastAsia="es-PE"/>
            </w:rPr>
            <w:t>Organismo de Evaluación y Fiscalización Ambiental - OEFA</w:t>
          </w:r>
        </w:p>
      </w:tc>
      <w:tc>
        <w:tcPr>
          <w:tcW w:w="2716" w:type="dxa"/>
          <w:tcBorders>
            <w:top w:val="single" w:sz="4" w:space="0" w:color="FFFFFF"/>
            <w:left w:val="single" w:sz="4" w:space="0" w:color="FFFFFF"/>
            <w:bottom w:val="single" w:sz="4" w:space="0" w:color="FFFFFF"/>
            <w:right w:val="single" w:sz="4" w:space="0" w:color="FFFFFF"/>
          </w:tcBorders>
          <w:shd w:val="clear" w:color="auto" w:fill="7F7F7F"/>
          <w:tcMar>
            <w:top w:w="0" w:type="dxa"/>
            <w:left w:w="115" w:type="dxa"/>
            <w:bottom w:w="0" w:type="dxa"/>
            <w:right w:w="115" w:type="dxa"/>
          </w:tcMar>
          <w:vAlign w:val="center"/>
          <w:hideMark/>
        </w:tcPr>
        <w:p w14:paraId="3386F69D" w14:textId="3C36158D" w:rsidR="00377598" w:rsidRPr="004E687F" w:rsidRDefault="008F74D9" w:rsidP="00F7487A">
          <w:pPr>
            <w:spacing w:before="0"/>
            <w:jc w:val="left"/>
            <w:rPr>
              <w:color w:val="FFFFFF" w:themeColor="background1"/>
              <w:sz w:val="20"/>
              <w:szCs w:val="20"/>
              <w:lang w:val="es-PE" w:eastAsia="es-PE"/>
            </w:rPr>
          </w:pPr>
          <w:r w:rsidRPr="004E687F">
            <w:rPr>
              <w:color w:val="FFFFFF" w:themeColor="background1"/>
              <w:sz w:val="20"/>
              <w:szCs w:val="20"/>
              <w:lang w:val="es-PE" w:eastAsia="es-PE"/>
            </w:rPr>
            <w:t>SEFA: Subdirección de Seguimiento de Entidades de Fiscalización Ambiental</w:t>
          </w:r>
        </w:p>
      </w:tc>
    </w:tr>
  </w:tbl>
  <w:p w14:paraId="3295D53C" w14:textId="77777777" w:rsidR="00377598" w:rsidRPr="00F7487A" w:rsidRDefault="008F74D9" w:rsidP="00F62778">
    <w:pPr>
      <w:spacing w:before="0"/>
      <w:jc w:val="center"/>
      <w:rPr>
        <w:rFonts w:ascii="Times New Roman" w:hAnsi="Times New Roman" w:cs="Times New Roman"/>
        <w:b/>
        <w:bCs/>
        <w:sz w:val="16"/>
        <w:szCs w:val="20"/>
        <w:lang w:val="es-PE" w:eastAsia="es-PE"/>
      </w:rPr>
    </w:pPr>
    <w:r w:rsidRPr="00F7487A">
      <w:rPr>
        <w:b/>
        <w:bCs/>
        <w:sz w:val="16"/>
        <w:szCs w:val="20"/>
        <w:lang w:val="es-PE" w:eastAsia="es-PE"/>
      </w:rPr>
      <w:t>“Decenio de la Igualdad de Oportunidades para mujeres y hombres”</w:t>
    </w:r>
  </w:p>
  <w:p w14:paraId="03BB4D86" w14:textId="179653C6" w:rsidR="004A13AA" w:rsidRPr="00D94E9A" w:rsidRDefault="00D94E9A" w:rsidP="00D94E9A">
    <w:pPr>
      <w:spacing w:before="0"/>
      <w:jc w:val="center"/>
      <w:rPr>
        <w:rFonts w:ascii="Times New Roman" w:hAnsi="Times New Roman" w:cs="Times New Roman"/>
        <w:b/>
        <w:bCs/>
        <w:sz w:val="16"/>
        <w:szCs w:val="20"/>
        <w:lang w:val="es-PE" w:eastAsia="es-PE"/>
      </w:rPr>
    </w:pPr>
    <w:r w:rsidRPr="00F7487A">
      <w:rPr>
        <w:b/>
        <w:bCs/>
        <w:sz w:val="16"/>
        <w:szCs w:val="20"/>
        <w:lang w:val="es-PE" w:eastAsia="es-PE"/>
      </w:rPr>
      <w:t>“</w:t>
    </w:r>
    <w:r w:rsidRPr="008F14CF">
      <w:rPr>
        <w:b/>
        <w:bCs/>
        <w:sz w:val="16"/>
        <w:szCs w:val="20"/>
        <w:lang w:val="es-PE" w:eastAsia="es-PE"/>
      </w:rPr>
      <w:t>Año del Bicentenario del Perú: 200 años de Independencia</w:t>
    </w:r>
    <w:r w:rsidRPr="00F7487A">
      <w:rPr>
        <w:b/>
        <w:bCs/>
        <w:sz w:val="16"/>
        <w:szCs w:val="20"/>
        <w:lang w:val="es-PE" w:eastAsia="es-PE"/>
      </w:rPr>
      <w:t>”</w:t>
    </w:r>
  </w:p>
  <w:p w14:paraId="7CD32A5B" w14:textId="77777777" w:rsidR="004A13AA" w:rsidRPr="00F7487A" w:rsidRDefault="00EF12D3" w:rsidP="00F7487A">
    <w:pPr>
      <w:spacing w:before="0"/>
      <w:jc w:val="center"/>
      <w:rPr>
        <w:rFonts w:ascii="Times New Roman" w:hAnsi="Times New Roman" w:cs="Times New Roman"/>
        <w:b/>
        <w:bCs/>
        <w:sz w:val="16"/>
        <w:szCs w:val="20"/>
        <w:lang w:val="es-PE" w:eastAsia="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4CCFE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562"/>
    <w:rsid w:val="00011C8B"/>
    <w:rsid w:val="0001341B"/>
    <w:rsid w:val="00067E43"/>
    <w:rsid w:val="001470CF"/>
    <w:rsid w:val="001C191B"/>
    <w:rsid w:val="0025099E"/>
    <w:rsid w:val="002B49CB"/>
    <w:rsid w:val="002D570C"/>
    <w:rsid w:val="00375542"/>
    <w:rsid w:val="003C7C81"/>
    <w:rsid w:val="0042580B"/>
    <w:rsid w:val="004731A5"/>
    <w:rsid w:val="004E29B3"/>
    <w:rsid w:val="00590D07"/>
    <w:rsid w:val="006051E3"/>
    <w:rsid w:val="006E2224"/>
    <w:rsid w:val="00784D58"/>
    <w:rsid w:val="007B4511"/>
    <w:rsid w:val="008D6863"/>
    <w:rsid w:val="008F74D9"/>
    <w:rsid w:val="00902FAF"/>
    <w:rsid w:val="00975A22"/>
    <w:rsid w:val="009B4763"/>
    <w:rsid w:val="009D5B98"/>
    <w:rsid w:val="00AF31C7"/>
    <w:rsid w:val="00B116F2"/>
    <w:rsid w:val="00B26C11"/>
    <w:rsid w:val="00B36471"/>
    <w:rsid w:val="00B71C03"/>
    <w:rsid w:val="00B86B75"/>
    <w:rsid w:val="00B96EA0"/>
    <w:rsid w:val="00BC48D5"/>
    <w:rsid w:val="00C36279"/>
    <w:rsid w:val="00D304DA"/>
    <w:rsid w:val="00D94E9A"/>
    <w:rsid w:val="00DE3E16"/>
    <w:rsid w:val="00DE7BDF"/>
    <w:rsid w:val="00E315A3"/>
    <w:rsid w:val="00EF12D3"/>
    <w:rsid w:val="00F345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B3E7"/>
  <w15:docId w15:val="{300873FF-1324-48C8-AD90-C16A58DD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687F"/>
    <w:pPr>
      <w:spacing w:before="180" w:after="0"/>
      <w:jc w:val="both"/>
    </w:pPr>
    <w:rPr>
      <w:rFonts w:ascii="Arial" w:hAnsi="Arial"/>
      <w:sz w:val="22"/>
    </w:rPr>
  </w:style>
  <w:style w:type="paragraph" w:styleId="Ttulo1">
    <w:name w:val="heading 1"/>
    <w:basedOn w:val="Ttulo"/>
    <w:next w:val="Textoindependiente"/>
    <w:uiPriority w:val="9"/>
    <w:qFormat/>
    <w:rsid w:val="004410C0"/>
    <w:pPr>
      <w:outlineLvl w:val="0"/>
    </w:pPr>
    <w:rPr>
      <w:sz w:val="24"/>
    </w:rPr>
  </w:style>
  <w:style w:type="paragraph" w:styleId="Ttulo2">
    <w:name w:val="heading 2"/>
    <w:basedOn w:val="Normal"/>
    <w:next w:val="Textoindependiente"/>
    <w:uiPriority w:val="9"/>
    <w:unhideWhenUsed/>
    <w:qFormat/>
    <w:rsid w:val="000F1341"/>
    <w:pPr>
      <w:keepNext/>
      <w:keepLines/>
      <w:spacing w:before="0"/>
      <w:outlineLvl w:val="1"/>
    </w:pPr>
    <w:rPr>
      <w:rFonts w:eastAsiaTheme="majorEastAsia" w:cs="Arial"/>
      <w:b/>
      <w:bCs/>
      <w:szCs w:val="20"/>
    </w:rPr>
  </w:style>
  <w:style w:type="paragraph" w:styleId="Ttulo3">
    <w:name w:val="heading 3"/>
    <w:basedOn w:val="Textoindependiente"/>
    <w:next w:val="Textoindependiente"/>
    <w:uiPriority w:val="9"/>
    <w:unhideWhenUsed/>
    <w:qFormat/>
    <w:rsid w:val="00C940D7"/>
    <w:pPr>
      <w:spacing w:before="0" w:after="0"/>
      <w:outlineLvl w:val="2"/>
    </w:pPr>
  </w:style>
  <w:style w:type="paragraph" w:styleId="Ttulo4">
    <w:name w:val="heading 4"/>
    <w:basedOn w:val="Textoindependiente"/>
    <w:next w:val="Textoindependiente"/>
    <w:uiPriority w:val="9"/>
    <w:unhideWhenUsed/>
    <w:qFormat/>
    <w:rsid w:val="001317E9"/>
    <w:pPr>
      <w:spacing w:before="0"/>
      <w:outlineLvl w:val="3"/>
    </w:pPr>
    <w:rPr>
      <w:u w:val="single"/>
    </w:rPr>
  </w:style>
  <w:style w:type="paragraph" w:styleId="Ttulo5">
    <w:name w:val="heading 5"/>
    <w:basedOn w:val="FirstParagraph"/>
    <w:next w:val="Textoindependiente"/>
    <w:uiPriority w:val="9"/>
    <w:unhideWhenUsed/>
    <w:qFormat/>
    <w:rsid w:val="0073159A"/>
    <w:pPr>
      <w:spacing w:before="0" w:after="0"/>
      <w:outlineLvl w:val="4"/>
    </w:pPr>
    <w:rPr>
      <w:sz w:val="16"/>
      <w:szCs w:val="20"/>
    </w:rPr>
  </w:style>
  <w:style w:type="paragraph" w:styleId="Ttulo6">
    <w:name w:val="heading 6"/>
    <w:basedOn w:val="Ttulo"/>
    <w:next w:val="Textoindependiente"/>
    <w:uiPriority w:val="9"/>
    <w:unhideWhenUsed/>
    <w:qFormat/>
    <w:rsid w:val="004410C0"/>
    <w:pPr>
      <w:spacing w:after="0"/>
      <w:jc w:val="right"/>
      <w:outlineLvl w:val="5"/>
    </w:pPr>
    <w:rPr>
      <w:sz w:val="17"/>
      <w:szCs w:val="16"/>
    </w:rPr>
  </w:style>
  <w:style w:type="paragraph" w:styleId="Ttulo7">
    <w:name w:val="heading 7"/>
    <w:basedOn w:val="Normal"/>
    <w:next w:val="Textoindependiente"/>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Ttulo8">
    <w:name w:val="heading 8"/>
    <w:basedOn w:val="Normal"/>
    <w:next w:val="Textoconsangra"/>
    <w:uiPriority w:val="9"/>
    <w:unhideWhenUsed/>
    <w:qFormat/>
    <w:rsid w:val="00B71C03"/>
    <w:pPr>
      <w:keepNext/>
      <w:keepLines/>
      <w:spacing w:before="0"/>
      <w:ind w:left="567"/>
      <w:outlineLvl w:val="7"/>
    </w:pPr>
    <w:rPr>
      <w:rFonts w:eastAsiaTheme="majorEastAsia" w:cstheme="majorBidi"/>
      <w:color w:val="000000" w:themeColor="text1"/>
      <w:sz w:val="16"/>
    </w:rPr>
  </w:style>
  <w:style w:type="paragraph" w:styleId="Ttulo9">
    <w:name w:val="heading 9"/>
    <w:basedOn w:val="Normal"/>
    <w:next w:val="Textoindependiente"/>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B4511"/>
    <w:pPr>
      <w:spacing w:after="180"/>
    </w:pPr>
    <w:rPr>
      <w:sz w:val="20"/>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A6BEF"/>
    <w:pPr>
      <w:keepNext/>
      <w:keepLines/>
      <w:spacing w:after="240"/>
      <w:jc w:val="center"/>
    </w:pPr>
    <w:rPr>
      <w:rFonts w:eastAsiaTheme="majorEastAsia" w:cs="Arial"/>
      <w:b/>
      <w:bCs/>
      <w:sz w:val="21"/>
      <w:szCs w:val="21"/>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Ttulo5"/>
    <w:uiPriority w:val="9"/>
    <w:unhideWhenUsed/>
    <w:qFormat/>
    <w:rsid w:val="000666E7"/>
    <w:rPr>
      <w:sz w:val="17"/>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unhideWhenUsed/>
    <w:rsid w:val="00377598"/>
    <w:pPr>
      <w:tabs>
        <w:tab w:val="center" w:pos="4252"/>
        <w:tab w:val="right" w:pos="8504"/>
      </w:tabs>
    </w:pPr>
  </w:style>
  <w:style w:type="character" w:customStyle="1" w:styleId="EncabezadoCar">
    <w:name w:val="Encabezado Car"/>
    <w:basedOn w:val="Fuentedeprrafopredeter"/>
    <w:link w:val="Encabezado"/>
    <w:rsid w:val="00377598"/>
  </w:style>
  <w:style w:type="paragraph" w:styleId="Piedepgina">
    <w:name w:val="footer"/>
    <w:basedOn w:val="Normal"/>
    <w:link w:val="PiedepginaCar"/>
    <w:unhideWhenUsed/>
    <w:rsid w:val="00377598"/>
    <w:pPr>
      <w:tabs>
        <w:tab w:val="center" w:pos="4252"/>
        <w:tab w:val="right" w:pos="8504"/>
      </w:tabs>
    </w:pPr>
  </w:style>
  <w:style w:type="character" w:customStyle="1" w:styleId="PiedepginaCar">
    <w:name w:val="Pie de página Car"/>
    <w:basedOn w:val="Fuentedeprrafopredeter"/>
    <w:link w:val="Piedepgina"/>
    <w:rsid w:val="00377598"/>
  </w:style>
  <w:style w:type="paragraph" w:styleId="NormalWeb">
    <w:name w:val="Normal (Web)"/>
    <w:basedOn w:val="Normal"/>
    <w:uiPriority w:val="99"/>
    <w:unhideWhenUsed/>
    <w:rsid w:val="00377598"/>
    <w:pPr>
      <w:spacing w:before="100" w:beforeAutospacing="1" w:after="100" w:afterAutospacing="1"/>
    </w:pPr>
    <w:rPr>
      <w:rFonts w:ascii="Times New Roman" w:eastAsia="Times New Roman" w:hAnsi="Times New Roman" w:cs="Times New Roman"/>
      <w:lang w:val="es-PE" w:eastAsia="es-PE"/>
    </w:rPr>
  </w:style>
  <w:style w:type="character" w:customStyle="1" w:styleId="apple-tab-span">
    <w:name w:val="apple-tab-span"/>
    <w:basedOn w:val="Fuentedeprrafopredeter"/>
    <w:rsid w:val="00377598"/>
  </w:style>
  <w:style w:type="paragraph" w:styleId="Textonotaalfinal">
    <w:name w:val="endnote text"/>
    <w:basedOn w:val="Normal"/>
    <w:link w:val="TextonotaalfinalCar"/>
    <w:semiHidden/>
    <w:unhideWhenUsed/>
    <w:rsid w:val="00B26C11"/>
    <w:pPr>
      <w:spacing w:before="0"/>
    </w:pPr>
    <w:rPr>
      <w:sz w:val="20"/>
      <w:szCs w:val="20"/>
    </w:rPr>
  </w:style>
  <w:style w:type="character" w:customStyle="1" w:styleId="TextonotaalfinalCar">
    <w:name w:val="Texto nota al final Car"/>
    <w:basedOn w:val="Fuentedeprrafopredeter"/>
    <w:link w:val="Textonotaalfinal"/>
    <w:semiHidden/>
    <w:rsid w:val="00B26C11"/>
    <w:rPr>
      <w:rFonts w:ascii="Arial" w:hAnsi="Arial"/>
      <w:sz w:val="20"/>
      <w:szCs w:val="20"/>
    </w:rPr>
  </w:style>
  <w:style w:type="character" w:styleId="Refdenotaalfinal">
    <w:name w:val="endnote reference"/>
    <w:basedOn w:val="Fuentedeprrafopredeter"/>
    <w:semiHidden/>
    <w:unhideWhenUsed/>
    <w:rsid w:val="00B26C11"/>
    <w:rPr>
      <w:vertAlign w:val="superscript"/>
    </w:rPr>
  </w:style>
  <w:style w:type="paragraph" w:styleId="Textoconsangra">
    <w:name w:val="table of authorities"/>
    <w:basedOn w:val="Normal"/>
    <w:next w:val="Normal"/>
    <w:semiHidden/>
    <w:unhideWhenUsed/>
    <w:rsid w:val="004731A5"/>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68407">
      <w:bodyDiv w:val="1"/>
      <w:marLeft w:val="0"/>
      <w:marRight w:val="0"/>
      <w:marTop w:val="0"/>
      <w:marBottom w:val="0"/>
      <w:divBdr>
        <w:top w:val="none" w:sz="0" w:space="0" w:color="auto"/>
        <w:left w:val="none" w:sz="0" w:space="0" w:color="auto"/>
        <w:bottom w:val="none" w:sz="0" w:space="0" w:color="auto"/>
        <w:right w:val="none" w:sz="0" w:space="0" w:color="auto"/>
      </w:divBdr>
    </w:div>
    <w:div w:id="801580979">
      <w:bodyDiv w:val="1"/>
      <w:marLeft w:val="0"/>
      <w:marRight w:val="0"/>
      <w:marTop w:val="0"/>
      <w:marBottom w:val="0"/>
      <w:divBdr>
        <w:top w:val="none" w:sz="0" w:space="0" w:color="auto"/>
        <w:left w:val="none" w:sz="0" w:space="0" w:color="auto"/>
        <w:bottom w:val="none" w:sz="0" w:space="0" w:color="auto"/>
        <w:right w:val="none" w:sz="0" w:space="0" w:color="auto"/>
      </w:divBdr>
    </w:div>
    <w:div w:id="988359385">
      <w:bodyDiv w:val="1"/>
      <w:marLeft w:val="0"/>
      <w:marRight w:val="0"/>
      <w:marTop w:val="0"/>
      <w:marBottom w:val="0"/>
      <w:divBdr>
        <w:top w:val="none" w:sz="0" w:space="0" w:color="auto"/>
        <w:left w:val="none" w:sz="0" w:space="0" w:color="auto"/>
        <w:bottom w:val="none" w:sz="0" w:space="0" w:color="auto"/>
        <w:right w:val="none" w:sz="0" w:space="0" w:color="auto"/>
      </w:divBdr>
      <w:divsChild>
        <w:div w:id="284892207">
          <w:marLeft w:val="-115"/>
          <w:marRight w:val="0"/>
          <w:marTop w:val="0"/>
          <w:marBottom w:val="0"/>
          <w:divBdr>
            <w:top w:val="none" w:sz="0" w:space="0" w:color="auto"/>
            <w:left w:val="none" w:sz="0" w:space="0" w:color="auto"/>
            <w:bottom w:val="none" w:sz="0" w:space="0" w:color="auto"/>
            <w:right w:val="none" w:sz="0" w:space="0" w:color="auto"/>
          </w:divBdr>
        </w:div>
      </w:divsChild>
    </w:div>
    <w:div w:id="1856070235">
      <w:bodyDiv w:val="1"/>
      <w:marLeft w:val="0"/>
      <w:marRight w:val="0"/>
      <w:marTop w:val="0"/>
      <w:marBottom w:val="0"/>
      <w:divBdr>
        <w:top w:val="none" w:sz="0" w:space="0" w:color="auto"/>
        <w:left w:val="none" w:sz="0" w:space="0" w:color="auto"/>
        <w:bottom w:val="none" w:sz="0" w:space="0" w:color="auto"/>
        <w:right w:val="none" w:sz="0" w:space="0" w:color="auto"/>
      </w:divBdr>
    </w:div>
    <w:div w:id="2073695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67C00-7E6E-43F3-9E24-57888E355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239</Words>
  <Characters>1317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Felipe Correa Cardenas</dc:creator>
  <cp:keywords/>
  <cp:lastModifiedBy>Luis Felipe Correa Cardenas</cp:lastModifiedBy>
  <cp:revision>18</cp:revision>
  <dcterms:created xsi:type="dcterms:W3CDTF">2021-08-03T18:09:00Z</dcterms:created>
  <dcterms:modified xsi:type="dcterms:W3CDTF">2021-10-06T07:45:00Z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