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5"/>
        <w:gridCol w:w="4834"/>
        <w:gridCol w:w="290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</w:rPr>
              <w:t>POLITEKNIK POS INDONESIA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</w:rPr>
              <w:t xml:space="preserve">Kode/No: </w:t>
            </w:r>
            <w:r>
              <w:rPr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</w:rPr>
              <w:t>Tanggal:</w:t>
            </w:r>
            <w:r>
              <w:rPr>
                <w:rtl w:val="0"/>
                <w:lang w:val="en-US"/>
              </w:rPr>
              <w:t xml:space="preserve"> 26 Agustus 2017</w:t>
            </w:r>
            <w:r>
              <w:rPr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de-DE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de-DE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</w:rPr>
              <w:t>(SPMI)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  <w:lang w:val="it-IT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tl w:val="0"/>
              </w:rPr>
              <w:t xml:space="preserve">Halaman: </w:t>
            </w:r>
            <w:r>
              <w:rPr>
                <w:rtl w:val="0"/>
                <w:lang w:val="en-US"/>
              </w:rPr>
              <w:t xml:space="preserve">1 dari </w:t>
            </w:r>
            <w:r>
              <w:rPr>
                <w:rtl w:val="0"/>
                <w:lang w:val="en-US"/>
              </w:rPr>
              <w:t>8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FORMULIR</w:t>
      </w:r>
    </w:p>
    <w:p>
      <w:pPr>
        <w:pStyle w:val="Normal.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RENCANA PEMBELAJARAN SEMESTER</w:t>
      </w:r>
    </w:p>
    <w:p>
      <w:pPr>
        <w:pStyle w:val="Normal.0"/>
        <w:jc w:val="center"/>
      </w:pPr>
      <w:r>
        <w:rPr>
          <w:rFonts w:ascii="Arial" w:hAnsi="Arial"/>
          <w:sz w:val="32"/>
          <w:szCs w:val="32"/>
          <w:rtl w:val="0"/>
          <w:lang w:val="en-US"/>
        </w:rPr>
        <w:t>MB41133 CUSTOMER SERVICE</w:t>
      </w: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rPr/>
            </w:pPr>
            <w:r>
              <w:rPr>
                <w:rtl w:val="0"/>
                <w:lang w:val="en-US"/>
              </w:rPr>
              <w:t>STANDAR PROSES PEMBELAJARAN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Program Studi D4 Manajemen Perusahaan</w:t>
            </w:r>
          </w:p>
        </w:tc>
      </w:tr>
    </w:tbl>
    <w:p>
      <w:pPr>
        <w:pStyle w:val="Normal.0"/>
        <w:widowControl w:val="0"/>
        <w:spacing w:line="240" w:lineRule="auto"/>
        <w:ind w:left="642" w:hanging="642"/>
      </w:pPr>
    </w:p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</w:pP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5"/>
        <w:gridCol w:w="3493"/>
        <w:gridCol w:w="1258"/>
        <w:gridCol w:w="1676"/>
        <w:gridCol w:w="1117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Proses</w:t>
            </w:r>
          </w:p>
        </w:tc>
        <w:tc>
          <w:tcPr>
            <w:tcW w:type="dxa" w:w="642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Penanggung Jawab</w:t>
            </w:r>
          </w:p>
        </w:tc>
        <w:tc>
          <w:tcPr>
            <w:tcW w:type="dxa" w:w="11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Nama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Jabatan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Tanda Tangan</w:t>
            </w:r>
          </w:p>
        </w:tc>
        <w:tc>
          <w:tcPr>
            <w:tcW w:type="dxa" w:w="11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</w:tr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tl w:val="0"/>
              </w:rPr>
              <w:t>Perumusan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Staf Pengajar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6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tl w:val="0"/>
              </w:rPr>
              <w:t>Pemeriksaan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Dr. Prety Diawati, S.Sos.,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Ketua Prodi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tl w:val="0"/>
              </w:rPr>
              <w:t>Persetujuan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it-IT"/>
              </w:rPr>
              <w:t>Dodi Permadi</w:t>
            </w:r>
            <w:r>
              <w:rPr>
                <w:rtl w:val="0"/>
                <w:lang w:val="en-US"/>
              </w:rPr>
              <w:t>, S.T., MT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pt-PT"/>
              </w:rPr>
              <w:t>Wadir 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r>
              <w:rPr>
                <w:rtl w:val="0"/>
                <w:lang w:val="pt-PT"/>
              </w:rPr>
              <w:t>Penetapan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it-IT"/>
              </w:rPr>
              <w:t>Dr. Ir. Agus Purnomo., MT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Direktur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r>
              <w:rPr>
                <w:rtl w:val="0"/>
                <w:lang w:val="it-IT"/>
              </w:rPr>
              <w:t>Pengendalian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</w:rPr>
              <w:t>Sri Suharti., SE.,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Ka. SPPMA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p>
      <w:pPr>
        <w:pStyle w:val="Normal.0"/>
        <w:widowControl w:val="0"/>
        <w:spacing w:line="240" w:lineRule="auto"/>
      </w:pP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1"/>
        <w:gridCol w:w="824"/>
        <w:gridCol w:w="400"/>
        <w:gridCol w:w="161"/>
        <w:gridCol w:w="377"/>
        <w:gridCol w:w="1077"/>
        <w:gridCol w:w="1890"/>
        <w:gridCol w:w="906"/>
        <w:gridCol w:w="909"/>
        <w:gridCol w:w="937"/>
        <w:gridCol w:w="690"/>
        <w:gridCol w:w="60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Program Studi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38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D4 Manajemen Perusahaan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Nama dan Kode Mata Kuliah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38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Customer Service (MB41133)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Semester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38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SKS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38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Dosen Pengampu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38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Angga Dewi Anggraeni, SE., MM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Capaian Pembelajaran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7385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 xml:space="preserve">Mahasiswa mampu menjelaskan latar belakang pelayanan, seperti dinamika perilaku pelanggan, 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 xml:space="preserve">service Exellence, </w:t>
            </w:r>
            <w:r>
              <w:rPr>
                <w:sz w:val="24"/>
                <w:szCs w:val="24"/>
                <w:rtl w:val="0"/>
              </w:rPr>
              <w:t xml:space="preserve">aspek lingkungan dalam service, dan perspektif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service.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232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Sumber Referensi</w:t>
            </w:r>
          </w:p>
        </w:tc>
      </w:tr>
      <w:tr>
        <w:tblPrEx>
          <w:shd w:val="clear" w:color="auto" w:fill="ced7e7"/>
        </w:tblPrEx>
        <w:trPr>
          <w:trHeight w:val="5420" w:hRule="atLeast"/>
        </w:trPr>
        <w:tc>
          <w:tcPr>
            <w:tcW w:type="dxa" w:w="9232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ption A"/>
              <w:numPr>
                <w:ilvl w:val="0"/>
                <w:numId w:val="10"/>
              </w:numPr>
              <w:spacing w:before="340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10"/>
              </w:numPr>
              <w:bidi w:val="0"/>
              <w:spacing w:before="34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10"/>
              </w:numPr>
              <w:bidi w:val="0"/>
              <w:spacing w:before="34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10"/>
              </w:numPr>
              <w:bidi w:val="0"/>
              <w:spacing w:before="34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10"/>
              </w:numPr>
              <w:bidi w:val="0"/>
              <w:spacing w:before="34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10"/>
              </w:numPr>
              <w:bidi w:val="0"/>
              <w:spacing w:before="34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10"/>
              </w:numPr>
              <w:bidi w:val="0"/>
              <w:spacing w:before="34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317" w:hRule="atLeast"/>
        </w:trPr>
        <w:tc>
          <w:tcPr>
            <w:tcW w:type="dxa" w:w="9232"/>
            <w:gridSpan w:val="1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6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No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Waktu Pembelajaran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Pokok Bahasan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Capaian Pembelajaran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Bahan Kajian/pokok Bahasan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Strategi Pembelajaran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Indikator Penialaian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Pengalaman Belajar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Kriteria dan Bobot Penilaian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Ref.</w:t>
            </w:r>
          </w:p>
        </w:tc>
      </w:tr>
      <w:tr>
        <w:tblPrEx>
          <w:shd w:val="clear" w:color="auto" w:fill="ced7e7"/>
        </w:tblPrEx>
        <w:trPr>
          <w:trHeight w:val="931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Latar Belakang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Mahasiswa mampu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menjelaskan latar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belakang pelayanan,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seperti dinamika perilaku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i w:val="1"/>
                <w:iCs w:val="1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sv-SE"/>
              </w:rPr>
              <w:t>pelanggan,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fr-FR"/>
              </w:rPr>
              <w:t>excellence,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 xml:space="preserve"> aspek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lingkungan dalam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,</w:t>
            </w:r>
          </w:p>
          <w:p>
            <w:pPr>
              <w:pStyle w:val="Default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dan perspektif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numPr>
                <w:ilvl w:val="0"/>
                <w:numId w:val="11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Dinamika perilaku pelanggan</w:t>
            </w:r>
          </w:p>
          <w:p>
            <w:pPr>
              <w:pStyle w:val="Default"/>
              <w:numPr>
                <w:ilvl w:val="0"/>
                <w:numId w:val="11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 Elemen Kunci Membangun Reputasi Untuk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fr-FR"/>
              </w:rPr>
              <w:t>Service Excellence</w:t>
            </w:r>
          </w:p>
          <w:p>
            <w:pPr>
              <w:pStyle w:val="Default"/>
              <w:numPr>
                <w:ilvl w:val="0"/>
                <w:numId w:val="11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 Aspek Lingkungan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1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Dalam Berbagai Perspektif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rFonts w:ascii="Trebuchet MS" w:cs="Trebuchet MS" w:hAnsi="Trebuchet MS" w:eastAsia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Ketepatan dalam menjelaskan latar</w:t>
            </w:r>
          </w:p>
          <w:p>
            <w:pPr>
              <w:pStyle w:val="Table Style 2"/>
              <w:jc w:val="center"/>
              <w:rPr>
                <w:rFonts w:ascii="Trebuchet MS" w:cs="Trebuchet MS" w:hAnsi="Trebuchet MS" w:eastAsia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belakang pelayanan,</w:t>
            </w:r>
          </w:p>
          <w:p>
            <w:pPr>
              <w:pStyle w:val="Table Style 2"/>
              <w:jc w:val="center"/>
              <w:rPr>
                <w:rFonts w:ascii="Trebuchet MS" w:cs="Trebuchet MS" w:hAnsi="Trebuchet MS" w:eastAsia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seperti dinamika perilaku</w:t>
            </w:r>
          </w:p>
          <w:p>
            <w:pPr>
              <w:pStyle w:val="Table Style 2"/>
              <w:jc w:val="center"/>
              <w:rPr>
                <w:rFonts w:ascii="Trebuchet MS" w:cs="Trebuchet MS" w:hAnsi="Trebuchet MS" w:eastAsia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pelanggan, service</w:t>
            </w:r>
          </w:p>
          <w:p>
            <w:pPr>
              <w:pStyle w:val="Table Style 2"/>
              <w:jc w:val="center"/>
              <w:rPr>
                <w:rFonts w:ascii="Trebuchet MS" w:cs="Trebuchet MS" w:hAnsi="Trebuchet MS" w:eastAsia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excellence, aspek</w:t>
            </w:r>
          </w:p>
          <w:p>
            <w:pPr>
              <w:pStyle w:val="Table Style 2"/>
              <w:jc w:val="center"/>
              <w:rPr>
                <w:rFonts w:ascii="Trebuchet MS" w:cs="Trebuchet MS" w:hAnsi="Trebuchet MS" w:eastAsia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lingkungan dalam service,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dan perspektif service.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Ketepatan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2851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de-DE"/>
              </w:rPr>
              <w:t xml:space="preserve">Sifat Dasar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Mahasiswa mampu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menjelaskan sifat dasar</w:t>
            </w:r>
          </w:p>
          <w:p>
            <w:pPr>
              <w:pStyle w:val="Default"/>
              <w:jc w:val="left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numPr>
                <w:ilvl w:val="0"/>
                <w:numId w:val="12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Memahami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2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Klasifikasi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2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The Service Marketing Triangle</w:t>
            </w:r>
          </w:p>
          <w:p>
            <w:pPr>
              <w:pStyle w:val="Default"/>
              <w:numPr>
                <w:ilvl w:val="0"/>
                <w:numId w:val="12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Mengelola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 Service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 xml:space="preserve">ketepatan dalam menjelaskan sifat dasar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453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Dimensi Kualitas Layanan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menjelaskan Dimensi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Kualitas Layanan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1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Dimensi kualitas.</w:t>
            </w:r>
          </w:p>
          <w:p>
            <w:pPr>
              <w:pStyle w:val="Table Style 2"/>
              <w:numPr>
                <w:ilvl w:val="0"/>
                <w:numId w:val="1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Menyelami harapan pelanggan.</w:t>
            </w:r>
          </w:p>
          <w:p>
            <w:pPr>
              <w:pStyle w:val="Table Style 2"/>
              <w:numPr>
                <w:ilvl w:val="0"/>
                <w:numId w:val="1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Model hubungan dimensi kualitas layanan.</w:t>
            </w:r>
          </w:p>
          <w:p>
            <w:pPr>
              <w:pStyle w:val="Table Style 2"/>
              <w:numPr>
                <w:ilvl w:val="0"/>
                <w:numId w:val="13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Penyusunan elemen setiap dimensi kualitas.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Dimensi Kualitas Layanan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338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Kepentingan Relatif Kualitas Layanan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memahami Kepentingan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Relatif Dimensi Kualitas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1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Tingkat kepentingan relatif.</w:t>
            </w:r>
          </w:p>
          <w:p>
            <w:pPr>
              <w:pStyle w:val="Table Style 2"/>
              <w:numPr>
                <w:ilvl w:val="0"/>
                <w:numId w:val="1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Metode pengukuran tingkat kepentingan relatif.</w:t>
            </w:r>
          </w:p>
          <w:p>
            <w:pPr>
              <w:pStyle w:val="Table Style 2"/>
              <w:numPr>
                <w:ilvl w:val="0"/>
                <w:numId w:val="14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Kegagalan layanan dan dampaknya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kepentingan relatif dimensi kualitas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2655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Memahami Pelanggan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menjelaskan tentang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pelanggan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1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Jenis dan Karakteristik Pelanggan</w:t>
            </w:r>
          </w:p>
          <w:p>
            <w:pPr>
              <w:pStyle w:val="Table Style 2"/>
              <w:numPr>
                <w:ilvl w:val="0"/>
                <w:numId w:val="15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Arti Pelanggan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tentang pelanggan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453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  <w:lang w:val="de-DE"/>
              </w:rPr>
              <w:t xml:space="preserve">Mengelola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Customer Service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Mahasiswa mampu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menjelaskan bagaimana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i w:val="1"/>
                <w:iCs w:val="1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 xml:space="preserve">Mengelola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Customer</w:t>
            </w:r>
          </w:p>
          <w:p>
            <w:pPr>
              <w:pStyle w:val="Default"/>
              <w:jc w:val="left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numPr>
                <w:ilvl w:val="0"/>
                <w:numId w:val="16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What is Relationship</w:t>
            </w:r>
          </w:p>
          <w:p>
            <w:pPr>
              <w:pStyle w:val="Default"/>
              <w:numPr>
                <w:ilvl w:val="0"/>
                <w:numId w:val="16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nl-NL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nl-NL"/>
              </w:rPr>
              <w:t xml:space="preserve"> Elemen Strategis dan Taktis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  <w:p>
            <w:pPr>
              <w:pStyle w:val="Default"/>
              <w:numPr>
                <w:ilvl w:val="0"/>
                <w:numId w:val="16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Bisnis Adalah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</w:p>
          <w:p>
            <w:pPr>
              <w:pStyle w:val="Default"/>
              <w:numPr>
                <w:ilvl w:val="0"/>
                <w:numId w:val="16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Customer Benefit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Dalam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Relationship</w:t>
            </w:r>
          </w:p>
          <w:p>
            <w:pPr>
              <w:pStyle w:val="Default"/>
              <w:numPr>
                <w:ilvl w:val="0"/>
                <w:numId w:val="16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Trust, Comminment, and Attraction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 xml:space="preserve">ketepatan dalam menjelaskan bagaimana mengelola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customer service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393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Paradigma Baru Memahami Pelanggan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menjelaskan Paradigma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Baru Memahami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Pelanggan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numPr>
                <w:ilvl w:val="0"/>
                <w:numId w:val="17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it-IT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it-IT"/>
              </w:rPr>
              <w:t>Paradigma Tentang Pelanggan</w:t>
            </w:r>
          </w:p>
          <w:p>
            <w:pPr>
              <w:pStyle w:val="Default"/>
              <w:numPr>
                <w:ilvl w:val="0"/>
                <w:numId w:val="17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nl-NL"/>
              </w:rPr>
              <w:t>SDI, Proses, dan Sistem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paradigma baru memahami pelanggan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9232"/>
            <w:gridSpan w:val="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UJIAN TENGAH   SEMESTER (UTS)</w:t>
            </w:r>
          </w:p>
        </w:tc>
      </w:tr>
      <w:tr>
        <w:tblPrEx>
          <w:shd w:val="clear" w:color="auto" w:fill="ced7e7"/>
        </w:tblPrEx>
        <w:trPr>
          <w:trHeight w:val="534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Kepuasan dan Kesetiaan Pelanggan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menjelaskan tentang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Kepuasan dan Kesetiaan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Pelanggan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1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Konsep kesetiaan pelanggan.</w:t>
            </w:r>
          </w:p>
          <w:p>
            <w:pPr>
              <w:pStyle w:val="Table Style 2"/>
              <w:numPr>
                <w:ilvl w:val="0"/>
                <w:numId w:val="1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Variabel dan indikator kesetiaan pelanggan.</w:t>
            </w:r>
          </w:p>
          <w:p>
            <w:pPr>
              <w:pStyle w:val="Table Style 2"/>
              <w:numPr>
                <w:ilvl w:val="0"/>
                <w:numId w:val="1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Merancang kuesioner untuk menggali respon kesetiaan.</w:t>
            </w:r>
          </w:p>
          <w:p>
            <w:pPr>
              <w:pStyle w:val="Table Style 2"/>
              <w:numPr>
                <w:ilvl w:val="0"/>
                <w:numId w:val="18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Mengukur dampak kepuasan terhadap kesetiaan pelanggan.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tentang kepuasan dan kesetiaan pelanggan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394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 xml:space="preserve">Profesionalisme dalam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Customer Service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memahami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Profesionalisme dalam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Pelayanan Pelanggan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19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Profesional: Bagaimana Terbentuk?</w:t>
            </w:r>
          </w:p>
          <w:p>
            <w:pPr>
              <w:pStyle w:val="Table Style 2"/>
              <w:numPr>
                <w:ilvl w:val="0"/>
                <w:numId w:val="19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Profesional untuk Pelayanan Pelanggan pada Industri Logistik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profesionalisme dalam pelayanan pelanggan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366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Sikap Profesional dalam Melayani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menjelaskan bagaimana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Sikap Profesional Dalam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Melayani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20"/>
              </w:numPr>
              <w:jc w:val="lef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Kebutuhan Pelanggan Dalam Pelayanan</w:t>
            </w:r>
          </w:p>
          <w:p>
            <w:pPr>
              <w:pStyle w:val="Table Style 2"/>
              <w:numPr>
                <w:ilvl w:val="0"/>
                <w:numId w:val="20"/>
              </w:numPr>
              <w:jc w:val="lef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Etika Pelayanan dan Sikap Baku Pelayanan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bagaimana sikap profesional dalam melayani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366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11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Sikap Profesional dalam Melayani II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menjelaskan bagaimana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Sikap Profesional Dalam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Melayani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Moment of Truth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bagaimana sikap profesional dalam melayani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3354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12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 xml:space="preserve">Komunikasi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Mahasiswa mampu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memahami Komunikasi</w:t>
            </w:r>
          </w:p>
          <w:p>
            <w:pPr>
              <w:pStyle w:val="Default"/>
              <w:jc w:val="left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  <w:lang w:val="da-DK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a-DK"/>
              </w:rPr>
              <w:t>Realitas Eksternal dan Realitas Internal</w:t>
            </w:r>
          </w:p>
          <w:p>
            <w:pPr>
              <w:pStyle w:val="Default"/>
              <w:numPr>
                <w:ilvl w:val="0"/>
                <w:numId w:val="21"/>
              </w:numPr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 Memahami 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nl-NL"/>
              </w:rPr>
              <w:t>Mental Map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 xml:space="preserve">ketepatan dalam menjelaskan komunikasi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478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13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 xml:space="preserve">Komunikasi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Subconscious </w:t>
            </w:r>
            <w:r>
              <w:rPr>
                <w:rFonts w:ascii="Trebuchet MS" w:hAnsi="Trebuchet MS"/>
                <w:sz w:val="24"/>
                <w:szCs w:val="24"/>
                <w:rtl w:val="0"/>
              </w:rPr>
              <w:t>II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de-DE"/>
              </w:rPr>
              <w:t>Mahasiswa mampu</w:t>
            </w:r>
          </w:p>
          <w:p>
            <w:pPr>
              <w:pStyle w:val="Default"/>
              <w:jc w:val="left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memahami Komunikasi</w:t>
            </w:r>
          </w:p>
          <w:p>
            <w:pPr>
              <w:pStyle w:val="Default"/>
              <w:jc w:val="left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</w:rPr>
              <w:t xml:space="preserve">Teknik Berkomunikasi Dalam Tataran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 xml:space="preserve">ketepatan dalam menjelaskan komunikasi </w:t>
            </w:r>
            <w:r>
              <w:rPr>
                <w:rFonts w:ascii="Trebuchet MS" w:hAnsi="Trebuchet MS"/>
                <w:i w:val="1"/>
                <w:iCs w:val="1"/>
                <w:sz w:val="24"/>
                <w:szCs w:val="24"/>
                <w:rtl w:val="0"/>
                <w:lang w:val="en-US"/>
              </w:rPr>
              <w:t>subconscious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5060" w:hRule="atLeast"/>
        </w:trPr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14</w:t>
            </w:r>
          </w:p>
        </w:tc>
        <w:tc>
          <w:tcPr>
            <w:tcW w:type="dxa" w:w="8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4 x 50 menit</w:t>
            </w:r>
          </w:p>
        </w:tc>
        <w:tc>
          <w:tcPr>
            <w:tcW w:type="dxa" w:w="93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Mengenal Diri dan Potensi</w:t>
            </w:r>
          </w:p>
        </w:tc>
        <w:tc>
          <w:tcPr>
            <w:tcW w:type="dxa" w:w="1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Mahasiswa mampu</w:t>
            </w:r>
          </w:p>
          <w:p>
            <w:pPr>
              <w:pStyle w:val="Table Style 2"/>
              <w:jc w:val="left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Mengenal Diri dan</w:t>
            </w:r>
          </w:p>
          <w:p>
            <w:pPr>
              <w:pStyle w:val="Table Style 2"/>
              <w:jc w:val="lef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Potensi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22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Mengenal Diri</w:t>
            </w:r>
          </w:p>
          <w:p>
            <w:pPr>
              <w:pStyle w:val="Table Style 2"/>
              <w:numPr>
                <w:ilvl w:val="0"/>
                <w:numId w:val="22"/>
              </w:numPr>
              <w:jc w:val="left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Mengenal dan Memanfaatkan Potensi Pikiran</w:t>
            </w:r>
          </w:p>
        </w:tc>
        <w:tc>
          <w:tcPr>
            <w:tcW w:type="dxa" w:w="9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Ceramah, Diskusi, Tanya Jawab, Studi Kasus, </w:t>
            </w:r>
          </w:p>
        </w:tc>
        <w:tc>
          <w:tcPr>
            <w:tcW w:type="dxa" w:w="9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ketepatan dalam menjelaskan pengenalan diri dan potensi</w:t>
            </w:r>
          </w:p>
        </w:tc>
        <w:tc>
          <w:tcPr>
            <w:tcW w:type="dxa" w:w="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Kuliah</w:t>
            </w:r>
            <w:r>
              <w:rPr>
                <w:sz w:val="24"/>
                <w:szCs w:val="24"/>
                <w:rtl w:val="0"/>
                <w:lang w:val="en-US"/>
              </w:rPr>
              <w:t xml:space="preserve"> dan praktikum</w:t>
            </w:r>
          </w:p>
        </w:tc>
        <w:tc>
          <w:tcPr>
            <w:tcW w:type="dxa" w:w="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Ketapatan menjawab soal</w:t>
            </w:r>
          </w:p>
        </w:tc>
        <w:tc>
          <w:tcPr>
            <w:tcW w:type="dxa" w:w="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1,2,3,4,5,6</w:t>
            </w:r>
            <w:r>
              <w:rPr>
                <w:sz w:val="24"/>
                <w:szCs w:val="24"/>
                <w:rtl w:val="0"/>
                <w:lang w:val="en-US"/>
              </w:rPr>
              <w:t>,7</w:t>
            </w:r>
          </w:p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9232"/>
            <w:gridSpan w:val="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0" w:line="240" w:lineRule="auto"/>
              <w:jc w:val="center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UJIAN AKHIR  SEMESTER (UAS)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