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180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68"/>
        <w:gridCol w:w="4677"/>
        <w:gridCol w:w="1188"/>
        <w:gridCol w:w="16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6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lang w:val="en-US"/>
              </w:rPr>
              <w:drawing>
                <wp:inline distT="0" distB="0" distL="0" distR="0">
                  <wp:extent cx="913858" cy="854172"/>
                  <wp:effectExtent l="0" t="0" r="0" b="0"/>
                  <wp:docPr id="1073741825" name="officeArt object" descr="image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.jpeg" descr="image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58" cy="85417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7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</w:rPr>
              <w:t>POLITEKNIK POS INDONESIA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>Kode/No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513"/>
                <w:tab w:val="right" w:pos="9026"/>
              </w:tabs>
            </w:pPr>
            <w:r>
              <w:rPr>
                <w:u w:color="ff0000"/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6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67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>Tanggal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513"/>
                <w:tab w:val="right" w:pos="9026"/>
              </w:tabs>
            </w:pPr>
            <w:r>
              <w:rPr>
                <w:rtl w:val="0"/>
                <w:lang w:val="en-US"/>
              </w:rPr>
              <w:t>5 Des 2018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67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  <w:rPr>
                <w:rFonts w:ascii="Calibri" w:cs="Calibri" w:hAnsi="Calibri" w:eastAsia="Calibri"/>
                <w:b w:val="1"/>
                <w:bCs w:val="1"/>
                <w:sz w:val="32"/>
                <w:szCs w:val="3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FORMULIR</w:t>
            </w:r>
          </w:p>
          <w:p>
            <w:pPr>
              <w:pStyle w:val="Header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de-DE"/>
              </w:rPr>
              <w:t xml:space="preserve">SISTEM PENJAMINAN MUTU INTERNAL 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</w:rPr>
              <w:t>(SPMI)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6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67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 xml:space="preserve">Halaman: 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</w:rPr>
              <w:t xml:space="preserve">1 dari 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n-US"/>
              </w:rPr>
              <w:t>7</w:t>
            </w:r>
          </w:p>
        </w:tc>
      </w:tr>
    </w:tbl>
    <w:p>
      <w:pPr>
        <w:pStyle w:val="Normal.0"/>
        <w:widowControl w:val="0"/>
        <w:spacing w:line="240" w:lineRule="auto"/>
        <w:ind w:left="324" w:hanging="324"/>
      </w:pPr>
    </w:p>
    <w:p>
      <w:pPr>
        <w:pStyle w:val="Normal.0"/>
        <w:widowControl w:val="0"/>
        <w:spacing w:line="240" w:lineRule="auto"/>
        <w:ind w:left="216" w:hanging="216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Calibri" w:cs="Calibri" w:hAnsi="Calibri" w:eastAsia="Calibri"/>
          <w:b w:val="1"/>
          <w:bCs w:val="1"/>
          <w:sz w:val="32"/>
          <w:szCs w:val="32"/>
          <w:shd w:val="clear" w:color="auto" w:fill="fcfcff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shd w:val="clear" w:color="auto" w:fill="fcfcff"/>
          <w:rtl w:val="0"/>
          <w:lang w:val="de-DE"/>
        </w:rPr>
        <w:t>FORMULIR</w:t>
      </w:r>
    </w:p>
    <w:p>
      <w:pPr>
        <w:pStyle w:val="Normal.0"/>
        <w:rPr>
          <w:sz w:val="32"/>
          <w:szCs w:val="32"/>
          <w:shd w:val="clear" w:color="auto" w:fill="fcfcff"/>
        </w:rPr>
      </w:pPr>
      <w:r>
        <w:rPr>
          <w:sz w:val="32"/>
          <w:szCs w:val="32"/>
          <w:shd w:val="clear" w:color="auto" w:fill="fcfcff"/>
          <w:rtl w:val="0"/>
          <w:lang w:val="de-DE"/>
        </w:rPr>
        <w:t>RENCANA PEMBELAJARAN SEMESTER</w:t>
      </w:r>
    </w:p>
    <w:p>
      <w:pPr>
        <w:pStyle w:val="Normal.0"/>
        <w:rPr>
          <w:sz w:val="32"/>
          <w:szCs w:val="32"/>
          <w:shd w:val="clear" w:color="auto" w:fill="fcfcff"/>
        </w:rPr>
      </w:pPr>
      <w:r>
        <w:rPr>
          <w:sz w:val="32"/>
          <w:szCs w:val="32"/>
          <w:shd w:val="clear" w:color="auto" w:fill="fcfcff"/>
          <w:rtl w:val="0"/>
          <w:lang w:val="en-US"/>
        </w:rPr>
        <w:t>PPI42124 E-COMMERCE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8221" w:type="dxa"/>
        <w:jc w:val="center"/>
        <w:tblInd w:w="9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5103"/>
      </w:tblGrid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</w:pPr>
            <w:r>
              <w:rPr>
                <w:b w:val="1"/>
                <w:bCs w:val="1"/>
                <w:rtl w:val="0"/>
                <w:lang w:val="en-US"/>
              </w:rPr>
              <w:t>Digunakan untuk melengkapi: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STANDAR PROSES PEMBELAJARAN</w:t>
            </w:r>
          </w:p>
          <w:p>
            <w:pPr>
              <w:pStyle w:val="Normal.0"/>
              <w:bidi w:val="0"/>
              <w:spacing w:before="120" w:after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Program Studi D4 Manajemen Perusahaan</w:t>
            </w:r>
          </w:p>
        </w:tc>
      </w:tr>
    </w:tbl>
    <w:p>
      <w:pPr>
        <w:pStyle w:val="Normal.0"/>
        <w:widowControl w:val="0"/>
        <w:spacing w:line="240" w:lineRule="auto"/>
        <w:ind w:left="858" w:hanging="858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356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2551"/>
        <w:gridCol w:w="1985"/>
        <w:gridCol w:w="1559"/>
        <w:gridCol w:w="1276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Proses</w:t>
            </w:r>
          </w:p>
        </w:tc>
        <w:tc>
          <w:tcPr>
            <w:tcW w:type="dxa" w:w="609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Penanggung Jawab</w:t>
            </w:r>
          </w:p>
        </w:tc>
        <w:tc>
          <w:tcPr>
            <w:tcW w:type="dxa" w:w="12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Tanggal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Nama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Jabatan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Tanda Tangan</w:t>
            </w:r>
          </w:p>
        </w:tc>
        <w:tc>
          <w:tcPr>
            <w:tcW w:type="dxa" w:w="12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</w:tcPr>
          <w:p/>
        </w:tc>
      </w:tr>
      <w:tr>
        <w:tblPrEx>
          <w:shd w:val="clear" w:color="auto" w:fill="ced7e7"/>
        </w:tblPrEx>
        <w:trPr>
          <w:trHeight w:val="55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Perumusan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Angga Dewi Anggraeni, SE., MM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Staf Pengajar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Pemeriksaan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Dr. Prety Diawati, S.Sos., MM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Ketua Prodi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Persetujuan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Dodi Permadi, S.T., M.T.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Pudir I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Penetapan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Dr. Agus Purnomo, M.T.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Direktur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Pengendalian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Sri Suharti, S.E., M.M.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Ka. SPPMA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ind w:left="432" w:hanging="432"/>
      </w:pPr>
    </w:p>
    <w:p>
      <w:pPr>
        <w:pStyle w:val="Normal.0"/>
        <w:widowControl w:val="0"/>
        <w:spacing w:line="240" w:lineRule="auto"/>
        <w:ind w:left="324" w:hanging="324"/>
      </w:pPr>
    </w:p>
    <w:p>
      <w:pPr>
        <w:pStyle w:val="Normal.0"/>
        <w:widowControl w:val="0"/>
        <w:spacing w:line="240" w:lineRule="auto"/>
        <w:ind w:left="216" w:hanging="216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sectPr>
          <w:headerReference w:type="default" r:id="rId5"/>
          <w:footerReference w:type="default" r:id="rId6"/>
          <w:pgSz w:w="11900" w:h="16840" w:orient="portrait"/>
          <w:pgMar w:top="1440" w:right="1440" w:bottom="1440" w:left="1701" w:header="709" w:footer="709"/>
          <w:bidi w:val="0"/>
        </w:sect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10328" w:type="dxa"/>
        <w:jc w:val="center"/>
        <w:tblInd w:w="5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9"/>
        <w:gridCol w:w="1079"/>
        <w:gridCol w:w="448"/>
        <w:gridCol w:w="180"/>
        <w:gridCol w:w="421"/>
        <w:gridCol w:w="1205"/>
        <w:gridCol w:w="2115"/>
        <w:gridCol w:w="1013"/>
        <w:gridCol w:w="1017"/>
        <w:gridCol w:w="1048"/>
        <w:gridCol w:w="772"/>
        <w:gridCol w:w="67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8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Program Studi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826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D4 Manajemen Perusahaan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88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Nama dan Kode Mata Kuliah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826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E-Commerce (PPI42124)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8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Semester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826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8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SKS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826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8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Dosen Pengampu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826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Angga Dewi Anggraeni, SE., MM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88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Capaian Pembelajaran</w:t>
            </w:r>
          </w:p>
        </w:tc>
        <w:tc>
          <w:tcPr>
            <w:tcW w:type="dxa" w:w="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8262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both"/>
            </w:pPr>
            <w:r>
              <w:rPr>
                <w:sz w:val="24"/>
                <w:szCs w:val="24"/>
                <w:rtl w:val="0"/>
                <w:lang w:val="en-US"/>
              </w:rPr>
              <w:t>Mahasiswa memahami berbagai dimensi yang ada dalam bisnis melalui media elektronik (e-commerce) yang meliputi konsep, teknologi, organisasi, strategi dan isu kebijakan publik agar e-commerce dapat berjalan secara efektif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328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Sumber Referensi</w:t>
            </w:r>
          </w:p>
        </w:tc>
      </w:tr>
      <w:tr>
        <w:tblPrEx>
          <w:shd w:val="clear" w:color="auto" w:fill="ced7e7"/>
        </w:tblPrEx>
        <w:trPr>
          <w:trHeight w:val="2710" w:hRule="atLeast"/>
        </w:trPr>
        <w:tc>
          <w:tcPr>
            <w:tcW w:type="dxa" w:w="10328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Rayport, Jeffrey F and Jaworski, Bernard J., Introduction to e-Commerce, International Edition-Second Edition, McGraw-Hill, Singapore 2003. </w:t>
            </w:r>
          </w:p>
          <w:p>
            <w:pPr>
              <w:pStyle w:val="Normal.0"/>
              <w:numPr>
                <w:ilvl w:val="0"/>
                <w:numId w:val="10"/>
              </w:numPr>
              <w:bidi w:val="0"/>
              <w:spacing w:before="0" w:after="0" w:line="240" w:lineRule="auto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Mohammed, Rafi A, et.al, Internet Marketing: Building Advantage in a Networked Economy, International Edition, McGraw-Hill, Singapore, 2003.</w:t>
            </w:r>
          </w:p>
          <w:p>
            <w:pPr>
              <w:pStyle w:val="Default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it-IT"/>
              </w:rPr>
              <w:t>Purbo, Onno.W, 2001, Mengenal E-Commerce, Jakarta: Elex Media Komputindo</w:t>
            </w:r>
          </w:p>
          <w:p>
            <w:pPr>
              <w:pStyle w:val="Default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Adams, Chris,2003,Internet Strategy, Tanpa kota : Hot Banana Software</w:t>
            </w:r>
          </w:p>
          <w:p>
            <w:pPr>
              <w:pStyle w:val="Default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it-IT"/>
              </w:rPr>
              <w:t>Oetomo, Budi Sutedjo et all, 2003, Jargon e-Business, Yogyakarta: Graha Ilmu</w:t>
            </w:r>
          </w:p>
          <w:p>
            <w:pPr>
              <w:pStyle w:val="Default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Ustadiyanto, Riyeke,2002,e-Business Plan : Perencanaan, Pembangunan Dan Strategi Di Internet, Yogyakarta: Andi</w:t>
            </w:r>
          </w:p>
        </w:tc>
      </w:tr>
      <w:tr>
        <w:tblPrEx>
          <w:shd w:val="clear" w:color="auto" w:fill="ced7e7"/>
        </w:tblPrEx>
        <w:trPr>
          <w:trHeight w:val="4178" w:hRule="atLeast"/>
        </w:trPr>
        <w:tc>
          <w:tcPr>
            <w:tcW w:type="dxa" w:w="10328"/>
            <w:gridSpan w:val="12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110" w:hRule="atLeast"/>
        </w:trPr>
        <w:tc>
          <w:tcPr>
            <w:tcW w:type="dxa" w:w="3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No</w:t>
            </w:r>
          </w:p>
        </w:tc>
        <w:tc>
          <w:tcPr>
            <w:tcW w:type="dxa" w:w="10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Waktu Pembelajaran</w:t>
            </w:r>
          </w:p>
        </w:tc>
        <w:tc>
          <w:tcPr>
            <w:tcW w:type="dxa" w:w="104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Pokok Bahasan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Capaian Pembelajaran</w:t>
            </w:r>
          </w:p>
        </w:tc>
        <w:tc>
          <w:tcPr>
            <w:tcW w:type="dxa" w:w="21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Bahan Kajian/pokok Bahasan</w:t>
            </w:r>
          </w:p>
        </w:tc>
        <w:tc>
          <w:tcPr>
            <w:tcW w:type="dxa" w:w="10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Strategi Pembelajaran</w:t>
            </w:r>
          </w:p>
        </w:tc>
        <w:tc>
          <w:tcPr>
            <w:tcW w:type="dxa" w:w="10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Indikator Penialaian</w:t>
            </w:r>
          </w:p>
        </w:tc>
        <w:tc>
          <w:tcPr>
            <w:tcW w:type="dxa" w:w="10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Pengalaman Belajar</w:t>
            </w:r>
          </w:p>
        </w:tc>
        <w:tc>
          <w:tcPr>
            <w:tcW w:type="dxa" w:w="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Kriteria dan Bobot Penilaian</w:t>
            </w:r>
          </w:p>
        </w:tc>
        <w:tc>
          <w:tcPr>
            <w:tcW w:type="dxa" w:w="6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Ref.</w:t>
            </w:r>
          </w:p>
        </w:tc>
      </w:tr>
      <w:tr>
        <w:tblPrEx>
          <w:shd w:val="clear" w:color="auto" w:fill="ced7e7"/>
        </w:tblPrEx>
        <w:trPr>
          <w:trHeight w:val="5778" w:hRule="atLeast"/>
        </w:trPr>
        <w:tc>
          <w:tcPr>
            <w:tcW w:type="dxa" w:w="3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10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 xml:space="preserve"> x </w:t>
            </w: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  <w:lang w:val="en-US"/>
              </w:rPr>
              <w:t>0 menit</w:t>
            </w:r>
          </w:p>
        </w:tc>
        <w:tc>
          <w:tcPr>
            <w:tcW w:type="dxa" w:w="104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2880"/>
                <w:tab w:val="left" w:pos="3000"/>
              </w:tabs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Kerangka Kerja E-Commerce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Mahasiswa akan memahami define e-commerce, model e-commerce, pengelolaannya dan tantangan bisnis pada lingkungan yang berubah secara cepat</w:t>
            </w:r>
          </w:p>
        </w:tc>
        <w:tc>
          <w:tcPr>
            <w:tcW w:type="dxa" w:w="21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1"/>
              </w:numPr>
              <w:spacing w:before="0" w:after="20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Definisi dan model e-commerce</w:t>
            </w:r>
          </w:p>
          <w:p>
            <w:pPr>
              <w:pStyle w:val="Normal.0"/>
              <w:numPr>
                <w:ilvl w:val="0"/>
                <w:numId w:val="11"/>
              </w:numPr>
              <w:bidi w:val="0"/>
              <w:spacing w:before="0" w:after="20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Strategi pada lingkungan yang berubah secara cepat</w:t>
            </w:r>
          </w:p>
          <w:p>
            <w:pPr>
              <w:pStyle w:val="Normal.0"/>
              <w:numPr>
                <w:ilvl w:val="0"/>
                <w:numId w:val="11"/>
              </w:numPr>
              <w:bidi w:val="0"/>
              <w:spacing w:before="0" w:after="20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Peran dan tanggung jawab manajer e-commerce</w:t>
            </w:r>
          </w:p>
          <w:p>
            <w:pPr>
              <w:pStyle w:val="Normal.0"/>
              <w:numPr>
                <w:ilvl w:val="0"/>
                <w:numId w:val="11"/>
              </w:numPr>
              <w:bidi w:val="0"/>
              <w:spacing w:before="0" w:after="20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Tantangan kepemimpinan pada lingkungan masa kini</w:t>
            </w:r>
          </w:p>
        </w:tc>
        <w:tc>
          <w:tcPr>
            <w:tcW w:type="dxa" w:w="10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10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Ketepatan dalam menjelaskan kerangka kerja e-commerce</w:t>
            </w:r>
          </w:p>
        </w:tc>
        <w:tc>
          <w:tcPr>
            <w:tcW w:type="dxa" w:w="10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Kulia</w:t>
            </w:r>
            <w:r>
              <w:rPr>
                <w:sz w:val="24"/>
                <w:szCs w:val="24"/>
                <w:rtl w:val="0"/>
                <w:lang w:val="en-US"/>
              </w:rPr>
              <w:t>h</w:t>
            </w:r>
          </w:p>
        </w:tc>
        <w:tc>
          <w:tcPr>
            <w:tcW w:type="dxa" w:w="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Ketepatan menjawab soal</w:t>
            </w:r>
          </w:p>
        </w:tc>
        <w:tc>
          <w:tcPr>
            <w:tcW w:type="dxa" w:w="6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</w:p>
        </w:tc>
      </w:tr>
      <w:tr>
        <w:tblPrEx>
          <w:shd w:val="clear" w:color="auto" w:fill="ced7e7"/>
        </w:tblPrEx>
        <w:trPr>
          <w:trHeight w:val="5750" w:hRule="atLeast"/>
        </w:trPr>
        <w:tc>
          <w:tcPr>
            <w:tcW w:type="dxa" w:w="3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10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 xml:space="preserve"> x </w:t>
            </w: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  <w:lang w:val="en-US"/>
              </w:rPr>
              <w:t>0 menit</w:t>
            </w:r>
          </w:p>
        </w:tc>
        <w:tc>
          <w:tcPr>
            <w:tcW w:type="dxa" w:w="104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2880"/>
                <w:tab w:val="left" w:pos="3000"/>
              </w:tabs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Teknologi Internet dan Bisnis E-Commerce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Mahasiswa akan memahami tentang teknologi internet dan dukungannya terhadap E-Commerce serta bagaimana E-Commerce diaplikasikannya</w:t>
            </w:r>
          </w:p>
        </w:tc>
        <w:tc>
          <w:tcPr>
            <w:tcW w:type="dxa" w:w="21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2"/>
              </w:numPr>
              <w:spacing w:before="0" w:after="20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Pengertian internet</w:t>
            </w:r>
          </w:p>
          <w:p>
            <w:pPr>
              <w:pStyle w:val="Normal.0"/>
              <w:numPr>
                <w:ilvl w:val="0"/>
                <w:numId w:val="12"/>
              </w:numPr>
              <w:bidi w:val="0"/>
              <w:spacing w:before="0" w:after="20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Sistem kerja internet</w:t>
            </w:r>
          </w:p>
          <w:p>
            <w:pPr>
              <w:pStyle w:val="Normal.0"/>
              <w:numPr>
                <w:ilvl w:val="0"/>
                <w:numId w:val="12"/>
              </w:numPr>
              <w:bidi w:val="0"/>
              <w:spacing w:before="0" w:after="20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Sistem WEB</w:t>
            </w:r>
          </w:p>
          <w:p>
            <w:pPr>
              <w:pStyle w:val="Normal.0"/>
              <w:numPr>
                <w:ilvl w:val="0"/>
                <w:numId w:val="12"/>
              </w:numPr>
              <w:bidi w:val="0"/>
              <w:spacing w:before="0" w:after="20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Melakukan bisnis di internet</w:t>
            </w:r>
          </w:p>
          <w:p>
            <w:pPr>
              <w:pStyle w:val="Normal.0"/>
              <w:numPr>
                <w:ilvl w:val="0"/>
                <w:numId w:val="12"/>
              </w:numPr>
              <w:bidi w:val="0"/>
              <w:spacing w:before="0" w:after="20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Aplikasi E-Commerce</w:t>
            </w:r>
          </w:p>
        </w:tc>
        <w:tc>
          <w:tcPr>
            <w:tcW w:type="dxa" w:w="10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10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Ketepatan dalam menjelaskan teknologi internet dan bisnis E-Commerce</w:t>
            </w:r>
          </w:p>
        </w:tc>
        <w:tc>
          <w:tcPr>
            <w:tcW w:type="dxa" w:w="10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</w:p>
        </w:tc>
        <w:tc>
          <w:tcPr>
            <w:tcW w:type="dxa" w:w="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6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</w:p>
        </w:tc>
      </w:tr>
      <w:tr>
        <w:tblPrEx>
          <w:shd w:val="clear" w:color="auto" w:fill="ced7e7"/>
        </w:tblPrEx>
        <w:trPr>
          <w:trHeight w:val="4210" w:hRule="atLeast"/>
        </w:trPr>
        <w:tc>
          <w:tcPr>
            <w:tcW w:type="dxa" w:w="3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10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 xml:space="preserve"> x </w:t>
            </w: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  <w:lang w:val="en-US"/>
              </w:rPr>
              <w:t>0 menit</w:t>
            </w:r>
          </w:p>
        </w:tc>
        <w:tc>
          <w:tcPr>
            <w:tcW w:type="dxa" w:w="104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Analisis Peluang Pasar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teknik dan strategi dalam menganalisis peluang pasar untuk perusahaan online</w:t>
            </w:r>
          </w:p>
        </w:tc>
        <w:tc>
          <w:tcPr>
            <w:tcW w:type="dxa" w:w="21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Analisis peluang pasar untuk perusahaan online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Kerangka kerja analisis peluang pasar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Analisis strategi peluang pasar</w:t>
            </w:r>
          </w:p>
        </w:tc>
        <w:tc>
          <w:tcPr>
            <w:tcW w:type="dxa" w:w="10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10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Ketepatan dalam menganalisis peluang pasar</w:t>
            </w:r>
          </w:p>
        </w:tc>
        <w:tc>
          <w:tcPr>
            <w:tcW w:type="dxa" w:w="10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</w:p>
        </w:tc>
        <w:tc>
          <w:tcPr>
            <w:tcW w:type="dxa" w:w="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6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</w:p>
        </w:tc>
      </w:tr>
      <w:tr>
        <w:tblPrEx>
          <w:shd w:val="clear" w:color="auto" w:fill="ced7e7"/>
        </w:tblPrEx>
        <w:trPr>
          <w:trHeight w:val="3334" w:hRule="atLeast"/>
        </w:trPr>
        <w:tc>
          <w:tcPr>
            <w:tcW w:type="dxa" w:w="3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type="dxa" w:w="10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 xml:space="preserve"> x </w:t>
            </w: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  <w:lang w:val="en-US"/>
              </w:rPr>
              <w:t>0 menit</w:t>
            </w:r>
          </w:p>
        </w:tc>
        <w:tc>
          <w:tcPr>
            <w:tcW w:type="dxa" w:w="104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Model-model bisnis e-commerce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akan memahami berbagai model bisnis e-commerce</w:t>
            </w:r>
          </w:p>
        </w:tc>
        <w:tc>
          <w:tcPr>
            <w:tcW w:type="dxa" w:w="21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Propisisi dan cluster nilai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Penawaran online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Sistem sumber daya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Model penerimaan (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revenue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10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10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Ketepatan dalam menjelaskan model-model bisnis e-commerce</w:t>
            </w:r>
          </w:p>
        </w:tc>
        <w:tc>
          <w:tcPr>
            <w:tcW w:type="dxa" w:w="10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</w:p>
        </w:tc>
        <w:tc>
          <w:tcPr>
            <w:tcW w:type="dxa" w:w="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6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</w:p>
        </w:tc>
      </w:tr>
      <w:tr>
        <w:tblPrEx>
          <w:shd w:val="clear" w:color="auto" w:fill="ced7e7"/>
        </w:tblPrEx>
        <w:trPr>
          <w:trHeight w:val="5410" w:hRule="atLeast"/>
        </w:trPr>
        <w:tc>
          <w:tcPr>
            <w:tcW w:type="dxa" w:w="3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5</w:t>
            </w:r>
          </w:p>
        </w:tc>
        <w:tc>
          <w:tcPr>
            <w:tcW w:type="dxa" w:w="10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 xml:space="preserve"> x </w:t>
            </w: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  <w:lang w:val="en-US"/>
              </w:rPr>
              <w:t>0 menit</w:t>
            </w:r>
          </w:p>
        </w:tc>
        <w:tc>
          <w:tcPr>
            <w:tcW w:type="dxa" w:w="104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Interface Pelanggan e-commerce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tentang berbagai elemen yang perlu tersedia dalam interface pelanggan sehingga web e-commerce dapat berjalan secara efektif</w:t>
            </w:r>
          </w:p>
        </w:tc>
        <w:tc>
          <w:tcPr>
            <w:tcW w:type="dxa" w:w="21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Konteks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Isi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Komersial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Komunitas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Koneksi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Komunikasi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Kastemisasi WEB</w:t>
            </w:r>
          </w:p>
        </w:tc>
        <w:tc>
          <w:tcPr>
            <w:tcW w:type="dxa" w:w="10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10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Ketepatan dalam menjelaskan interface pelanggan e-commerce</w:t>
            </w:r>
          </w:p>
        </w:tc>
        <w:tc>
          <w:tcPr>
            <w:tcW w:type="dxa" w:w="10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</w:p>
        </w:tc>
        <w:tc>
          <w:tcPr>
            <w:tcW w:type="dxa" w:w="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6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6</w:t>
            </w:r>
          </w:p>
        </w:tc>
        <w:tc>
          <w:tcPr>
            <w:tcW w:type="dxa" w:w="10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 xml:space="preserve"> x </w:t>
            </w: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  <w:lang w:val="en-US"/>
              </w:rPr>
              <w:t>0 menit</w:t>
            </w:r>
          </w:p>
        </w:tc>
        <w:tc>
          <w:tcPr>
            <w:tcW w:type="dxa" w:w="104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Komunikasi pasar dan Branding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tentang teknik mengintegrasikan komunikasi pasar dengan branding dalam e-commerce</w:t>
            </w:r>
          </w:p>
        </w:tc>
        <w:tc>
          <w:tcPr>
            <w:tcW w:type="dxa" w:w="21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Mengintegrasikan komunikasi dan branding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komunikasi pasar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branding</w:t>
            </w:r>
          </w:p>
        </w:tc>
        <w:tc>
          <w:tcPr>
            <w:tcW w:type="dxa" w:w="10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10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ketepatan dalam menjelaskan komunikasi pasar dan branding</w:t>
            </w:r>
          </w:p>
        </w:tc>
        <w:tc>
          <w:tcPr>
            <w:tcW w:type="dxa" w:w="10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</w:p>
        </w:tc>
        <w:tc>
          <w:tcPr>
            <w:tcW w:type="dxa" w:w="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6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</w:p>
        </w:tc>
      </w:tr>
      <w:tr>
        <w:tblPrEx>
          <w:shd w:val="clear" w:color="auto" w:fill="ced7e7"/>
        </w:tblPrEx>
        <w:trPr>
          <w:trHeight w:val="3334" w:hRule="atLeast"/>
        </w:trPr>
        <w:tc>
          <w:tcPr>
            <w:tcW w:type="dxa" w:w="3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7</w:t>
            </w:r>
          </w:p>
        </w:tc>
        <w:tc>
          <w:tcPr>
            <w:tcW w:type="dxa" w:w="10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 xml:space="preserve"> x </w:t>
            </w: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  <w:lang w:val="en-US"/>
              </w:rPr>
              <w:t>0 menit</w:t>
            </w:r>
          </w:p>
        </w:tc>
        <w:tc>
          <w:tcPr>
            <w:tcW w:type="dxa" w:w="104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kerangka kerja implementasi e-commerce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tentang kerangka kerja implementasi e-commerce</w:t>
            </w:r>
          </w:p>
        </w:tc>
        <w:tc>
          <w:tcPr>
            <w:tcW w:type="dxa" w:w="21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Sumber daya manusia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Proses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Struktur organisasi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Sistem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Budaya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Kepemimpinan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Partnership</w:t>
            </w:r>
          </w:p>
        </w:tc>
        <w:tc>
          <w:tcPr>
            <w:tcW w:type="dxa" w:w="10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10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Ketepatan dalam menjelaskan kerangka kerja implementasi e-commerce</w:t>
            </w:r>
          </w:p>
        </w:tc>
        <w:tc>
          <w:tcPr>
            <w:tcW w:type="dxa" w:w="10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</w:p>
        </w:tc>
        <w:tc>
          <w:tcPr>
            <w:tcW w:type="dxa" w:w="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6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</w:p>
        </w:tc>
      </w:tr>
      <w:tr>
        <w:tblPrEx>
          <w:shd w:val="clear" w:color="auto" w:fill="ced7e7"/>
        </w:tblPrEx>
        <w:trPr>
          <w:trHeight w:val="743" w:hRule="atLeast"/>
        </w:trPr>
        <w:tc>
          <w:tcPr>
            <w:tcW w:type="dxa" w:w="10328"/>
            <w:gridSpan w:val="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en-US"/>
              </w:rPr>
              <w:t>UJIAN TENGAH   SEMESTER (UTS)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0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 xml:space="preserve"> x </w:t>
            </w: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  <w:lang w:val="en-US"/>
              </w:rPr>
              <w:t>0 menit</w:t>
            </w:r>
          </w:p>
        </w:tc>
        <w:tc>
          <w:tcPr>
            <w:tcW w:type="dxa" w:w="104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Evaluasi implementasi e-commerce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tentang berbagai tehnik dalam melakukan evaluasi terhadap implementasi e-commerce</w:t>
            </w:r>
          </w:p>
        </w:tc>
        <w:tc>
          <w:tcPr>
            <w:tcW w:type="dxa" w:w="21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Balanced Scorecard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Performance dashboard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Metrik integrasi offline dan online</w:t>
            </w:r>
          </w:p>
        </w:tc>
        <w:tc>
          <w:tcPr>
            <w:tcW w:type="dxa" w:w="10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10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ketepatan dalam mengevaluasi implementasi e-commerce</w:t>
            </w:r>
          </w:p>
        </w:tc>
        <w:tc>
          <w:tcPr>
            <w:tcW w:type="dxa" w:w="10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</w:p>
        </w:tc>
        <w:tc>
          <w:tcPr>
            <w:tcW w:type="dxa" w:w="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6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0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 xml:space="preserve"> x </w:t>
            </w: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  <w:lang w:val="en-US"/>
              </w:rPr>
              <w:t>0 menit</w:t>
            </w:r>
          </w:p>
        </w:tc>
        <w:tc>
          <w:tcPr>
            <w:tcW w:type="dxa" w:w="104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Proses Pengembangan Website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tentang proses dalam mengembangkan website e-commerce</w:t>
            </w:r>
          </w:p>
        </w:tc>
        <w:tc>
          <w:tcPr>
            <w:tcW w:type="dxa" w:w="21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pertimbangan Sebelum merencanakan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proses pembangunan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identifikasi pengalaman pengguna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Proses desain arsitektur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Uji coba</w:t>
            </w:r>
          </w:p>
        </w:tc>
        <w:tc>
          <w:tcPr>
            <w:tcW w:type="dxa" w:w="10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10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ketepatan dalam menjelaskan proses pengembangan website</w:t>
            </w:r>
          </w:p>
        </w:tc>
        <w:tc>
          <w:tcPr>
            <w:tcW w:type="dxa" w:w="10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</w:p>
        </w:tc>
        <w:tc>
          <w:tcPr>
            <w:tcW w:type="dxa" w:w="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6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</w:p>
        </w:tc>
      </w:tr>
      <w:tr>
        <w:tblPrEx>
          <w:shd w:val="clear" w:color="auto" w:fill="ced7e7"/>
        </w:tblPrEx>
        <w:trPr>
          <w:trHeight w:val="3334" w:hRule="atLeast"/>
        </w:trPr>
        <w:tc>
          <w:tcPr>
            <w:tcW w:type="dxa" w:w="3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0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 xml:space="preserve"> x </w:t>
            </w: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  <w:lang w:val="en-US"/>
              </w:rPr>
              <w:t>0 menit</w:t>
            </w:r>
          </w:p>
        </w:tc>
        <w:tc>
          <w:tcPr>
            <w:tcW w:type="dxa" w:w="104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Arsitektur Website E-commerce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tentang arsitektur web</w:t>
            </w:r>
          </w:p>
        </w:tc>
        <w:tc>
          <w:tcPr>
            <w:tcW w:type="dxa" w:w="21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Arsitektur logika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arsitektur fisik</w:t>
            </w:r>
          </w:p>
        </w:tc>
        <w:tc>
          <w:tcPr>
            <w:tcW w:type="dxa" w:w="10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10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Ketepatan dalam menjelaskan arsitektur website e-commerce</w:t>
            </w:r>
          </w:p>
        </w:tc>
        <w:tc>
          <w:tcPr>
            <w:tcW w:type="dxa" w:w="10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</w:p>
        </w:tc>
        <w:tc>
          <w:tcPr>
            <w:tcW w:type="dxa" w:w="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6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</w:p>
        </w:tc>
      </w:tr>
      <w:tr>
        <w:tblPrEx>
          <w:shd w:val="clear" w:color="auto" w:fill="ced7e7"/>
        </w:tblPrEx>
        <w:trPr>
          <w:trHeight w:val="3334" w:hRule="atLeast"/>
        </w:trPr>
        <w:tc>
          <w:tcPr>
            <w:tcW w:type="dxa" w:w="3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10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 xml:space="preserve"> x </w:t>
            </w: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  <w:lang w:val="en-US"/>
              </w:rPr>
              <w:t>0 menit</w:t>
            </w:r>
          </w:p>
        </w:tc>
        <w:tc>
          <w:tcPr>
            <w:tcW w:type="dxa" w:w="104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Modal Finansial dan Sumber Daya Manusia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peranan modal finansial dan sumber daya manusia</w:t>
            </w:r>
          </w:p>
        </w:tc>
        <w:tc>
          <w:tcPr>
            <w:tcW w:type="dxa" w:w="21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Membangun bisnis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Elemen proses perencanaan bisnis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Modal sumber daya manusia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Modal finansial</w:t>
            </w:r>
          </w:p>
        </w:tc>
        <w:tc>
          <w:tcPr>
            <w:tcW w:type="dxa" w:w="10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10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Ketepatan dalam menjelaskan modal dinansial dan sumber daya manusia</w:t>
            </w:r>
          </w:p>
        </w:tc>
        <w:tc>
          <w:tcPr>
            <w:tcW w:type="dxa" w:w="10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</w:p>
        </w:tc>
        <w:tc>
          <w:tcPr>
            <w:tcW w:type="dxa" w:w="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6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</w:p>
        </w:tc>
      </w:tr>
      <w:tr>
        <w:tblPrEx>
          <w:shd w:val="clear" w:color="auto" w:fill="ced7e7"/>
        </w:tblPrEx>
        <w:trPr>
          <w:trHeight w:val="3334" w:hRule="atLeast"/>
        </w:trPr>
        <w:tc>
          <w:tcPr>
            <w:tcW w:type="dxa" w:w="3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10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 xml:space="preserve"> x </w:t>
            </w: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  <w:lang w:val="en-US"/>
              </w:rPr>
              <w:t>0 menit</w:t>
            </w:r>
          </w:p>
        </w:tc>
        <w:tc>
          <w:tcPr>
            <w:tcW w:type="dxa" w:w="104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Transformasi Media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transformasi media dalam e-commerce</w:t>
            </w:r>
          </w:p>
        </w:tc>
        <w:tc>
          <w:tcPr>
            <w:tcW w:type="dxa" w:w="21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Macam-macam media dalam e-commerce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Internet berkecepatan tinggi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Perubahan organisasi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sinergi</w:t>
            </w:r>
          </w:p>
        </w:tc>
        <w:tc>
          <w:tcPr>
            <w:tcW w:type="dxa" w:w="10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10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Ketepatan dalam menjelaskan transformasi media</w:t>
            </w:r>
          </w:p>
        </w:tc>
        <w:tc>
          <w:tcPr>
            <w:tcW w:type="dxa" w:w="10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</w:p>
        </w:tc>
        <w:tc>
          <w:tcPr>
            <w:tcW w:type="dxa" w:w="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6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3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10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 xml:space="preserve"> x </w:t>
            </w: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  <w:lang w:val="en-US"/>
              </w:rPr>
              <w:t>0 menit</w:t>
            </w:r>
          </w:p>
        </w:tc>
        <w:tc>
          <w:tcPr>
            <w:tcW w:type="dxa" w:w="104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Kebijakan Politik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memahami mengenai berbagai kebijakan publik yang terkait dengan e-commerce</w:t>
            </w:r>
          </w:p>
        </w:tc>
        <w:tc>
          <w:tcPr>
            <w:tcW w:type="dxa" w:w="21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Implikasi regulasi internet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Tantangan regulasi internet</w:t>
            </w:r>
          </w:p>
        </w:tc>
        <w:tc>
          <w:tcPr>
            <w:tcW w:type="dxa" w:w="10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10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Ketepatan dalam menjelaskan kebijakan politik</w:t>
            </w:r>
          </w:p>
        </w:tc>
        <w:tc>
          <w:tcPr>
            <w:tcW w:type="dxa" w:w="10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</w:p>
        </w:tc>
        <w:tc>
          <w:tcPr>
            <w:tcW w:type="dxa" w:w="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6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10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  <w:r>
              <w:rPr>
                <w:sz w:val="24"/>
                <w:szCs w:val="24"/>
                <w:rtl w:val="0"/>
                <w:lang w:val="en-US"/>
              </w:rPr>
              <w:t xml:space="preserve"> x </w:t>
            </w: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rtl w:val="0"/>
                <w:lang w:val="en-US"/>
              </w:rPr>
              <w:t>0 menit</w:t>
            </w:r>
          </w:p>
        </w:tc>
        <w:tc>
          <w:tcPr>
            <w:tcW w:type="dxa" w:w="104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Praktik E-Commerce</w:t>
            </w:r>
          </w:p>
        </w:tc>
        <w:tc>
          <w:tcPr>
            <w:tcW w:type="dxa" w:w="12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Mahasiswa memiliki pengalaman bertransaksi melalui e-commerce dan membuat website e-commerce</w:t>
            </w:r>
          </w:p>
        </w:tc>
        <w:tc>
          <w:tcPr>
            <w:tcW w:type="dxa" w:w="21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belanja online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Membuat website e-commerce</w:t>
            </w:r>
          </w:p>
        </w:tc>
        <w:tc>
          <w:tcPr>
            <w:tcW w:type="dxa" w:w="10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10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Ketepatan dalam melakukan praktik e-commerce</w:t>
            </w:r>
          </w:p>
        </w:tc>
        <w:tc>
          <w:tcPr>
            <w:tcW w:type="dxa" w:w="10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</w:p>
        </w:tc>
        <w:tc>
          <w:tcPr>
            <w:tcW w:type="dxa" w:w="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  <w:jc w:val="left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67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0"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</w:p>
        </w:tc>
      </w:tr>
      <w:tr>
        <w:tblPrEx>
          <w:shd w:val="clear" w:color="auto" w:fill="ced7e7"/>
        </w:tblPrEx>
        <w:trPr>
          <w:trHeight w:val="836" w:hRule="atLeast"/>
        </w:trPr>
        <w:tc>
          <w:tcPr>
            <w:tcW w:type="dxa" w:w="10328"/>
            <w:gridSpan w:val="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UJIAN 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en-US"/>
              </w:rPr>
              <w:t>AKHIR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 SEMESTER (U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en-US"/>
              </w:rPr>
              <w:t>A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en-US"/>
              </w:rPr>
              <w:t>S)</w:t>
            </w:r>
          </w:p>
        </w:tc>
      </w:tr>
    </w:tbl>
    <w:p>
      <w:pPr>
        <w:pStyle w:val="Normal.0"/>
        <w:widowControl w:val="0"/>
        <w:spacing w:after="0" w:line="240" w:lineRule="auto"/>
        <w:ind w:left="417" w:hanging="417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widowControl w:val="0"/>
        <w:spacing w:after="0" w:line="240" w:lineRule="auto"/>
        <w:ind w:left="309" w:hanging="309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widowControl w:val="0"/>
        <w:spacing w:after="0" w:line="240" w:lineRule="auto"/>
        <w:ind w:left="201" w:hanging="20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widowControl w:val="0"/>
        <w:spacing w:after="0" w:line="240" w:lineRule="auto"/>
        <w:ind w:left="93" w:hanging="93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ind w:left="417" w:hanging="417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ind w:left="309" w:hanging="309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ind w:left="201" w:hanging="201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ind w:left="93" w:hanging="93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7"/>
      <w:headerReference w:type="first" r:id="rId8"/>
      <w:pgSz w:w="11900" w:h="16840" w:orient="portrait"/>
      <w:pgMar w:top="1350" w:right="567" w:bottom="567" w:left="567" w:header="709" w:footer="709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lowerLetter"/>
      <w:suff w:val="tab"/>
      <w:lvlText w:val="%1."/>
      <w:lvlJc w:val="left"/>
      <w:pPr>
        <w:tabs>
          <w:tab w:val="left" w:pos="317"/>
        </w:tabs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17"/>
        </w:tabs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317"/>
        </w:tabs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317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17"/>
        </w:tabs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317"/>
        </w:tabs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317"/>
        </w:tabs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17"/>
        </w:tabs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317"/>
        </w:tabs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lowerLetter"/>
      <w:suff w:val="tab"/>
      <w:lvlText w:val="%1."/>
      <w:lvlJc w:val="left"/>
      <w:pPr>
        <w:tabs>
          <w:tab w:val="left" w:pos="317"/>
        </w:tabs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17"/>
        </w:tabs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317"/>
        </w:tabs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317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17"/>
        </w:tabs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317"/>
        </w:tabs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317"/>
        </w:tabs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17"/>
        </w:tabs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317"/>
        </w:tabs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low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low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low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low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low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low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low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low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low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low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low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low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40" w:line="276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clear" w:color="auto" w:fill="ffff00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