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7"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ISI PEMBELAJARAN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ISI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6"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kerja sama antar perguruan tinggi dalam dan luar negeri serta antara perguruan tinggi dengan IDUKA dan pemerintah.</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CPL: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Capaian Pembelajaran Lulusan adalah Capaian Pembelajaran bagi lulusan  sebuah program studi</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CP MK: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Capaian Pembelajaran untuk mata kuliah adalah Capaian Pembelajaran bagi lulusan mata kuliah.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(Capaian pembelajaran) adalah kemampuan yang diperoleh melalui internalisasi pengetahuan, sikap, ketrampilan, kompetensi, dan akumulasi pengalaman kerja.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KKNI: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Kerangka Kualifikasi Nasional Indonesia adalah  kerangka penjenjangan kualifikasi dan kompetensi tenaga kerja Indonesia yang menyandingkan, menyetarakan, dan mengintegrasikan sektor pendidikan dengan sektor pelatihan dan pengalaman kerja dalam suatu skema pengakuan kemampuan kerja yang disesuaikan dengan struktur di berbagai sektor pekerjaan., KKNI disebut juga sebagai Qualification Framework (IQF), ditetapkan Peraturan Presiden Republik Indonesia No. 8 Tahun 2012.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Keterampilan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merupakan kemampuan melakukan unjuk kerja dengan menggunakan konsep, teori, metode, bahan, dan/atau instrumen, yang diperoleh melalui pembelajaran, pengalaman kerja mahasiswa, penelitian dan/atau pengabdian kepada masyarakat yang terkait pembelajaran, mencakup: </w:t>
      </w:r>
      <w:r w:rsidDel="00000000" w:rsidR="00000000" w:rsidRPr="00000000">
        <w:rPr>
          <w:rtl w:val="0"/>
        </w:rPr>
        <w:t xml:space="preserve">keterampilan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umum dan keterampilan khusus.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Keterampilan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umum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kemampuan kerja umum yang wajib dimiliki oleh setiap lulusan dalam rangka menjamin kesetaraan kemampuan lulusan sesuai tingkat program dan jenis pendidikan tinggi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Keterampilan khusus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kemampuan kerja khusus yang wajib dimiliki oleh setiap lulusan sesuai dengan bidang keilmuan program studi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Kurikulum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seperangkat rencana dan pengaturan mengenai capaian pembelajaran lulusan, bahan kajian, proses, dan penilaian yang digunakan sebagai pedoman penyelenggaraan program studi</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Kurikulum Program Studi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selanjutnya disingkat KPS merupakan kurikulum pada Program Studi.</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Pengetahuan sebagaimana merupakan penguasaan konsep, teori, metode, dan/atau falsafah bidang ilmu tertentu secara sistematis yang diperoleh melalui penalaran dalam proses pembelajaran, pengalaman kerja mahasiswa, penelitian dan/atau pengabdian kepada masyarakat yang terkait pembelajaran.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Perguruan Tinggi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satuan pendidikan yang menyelenggarakan pendidikan tinggi.</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SNP: Standar Nasional Pendidikan adalah kriteria minimal tentang sistem pendidikan di seluruh wilayah hukum Negara Kesatuan Republik Indonesia.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Standar Kompetensi Lulusan adalah kriteria capaian pembelajaran lulusan pendidikan tinggi yang merupakan internalisasi ranah sikap, pengetahuan, dan keterampilan.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Sikap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sebagaimana merupakan perilaku benar dan berbudaya sebagai hasil dari internalisasi dan aktualisasi nilai dan norma yang tercermin dalam kehidupan spiritual dan sosial melalui proses pembelajaran, pengalaman kerja mahasiswa, penelitian dan/atau pengabdian kepada masyarakat yang terkait pembelajaran.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Satuan Kredit Semester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selanjutnya disingkat sks adalah takaran waktu kegiatan belajar yang </w:t>
      </w:r>
      <w:r w:rsidDel="00000000" w:rsidR="00000000" w:rsidRPr="00000000">
        <w:rPr>
          <w:rtl w:val="0"/>
        </w:rPr>
        <w:t xml:space="preserve">dibebankan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mahasiswa per minggu per semester dalam proses pembelajaran melalui berbagai bentuk pembelajaran atau besarnya pengakuan atas keberhasilan usaha mahasiswa dalam mengikuti kegiatan kurikuler di suatu program studi.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 Studi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kesatuan kegiatan pendidikan dan pembelajaran yang memiliki kurikulum dan metode pembelajaran tertentu dalam satu jenis pendidikan akademik, pendidikan profesi, dan/atau pendidikan vokasi.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proses interaksi mahasiswa dengan dosen dan sumber belajar pada suatu lingkungan belajar.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PROSES PEMBELAJARAN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mencapai visi, misi dan tujuan Sekolah tinggi dibutuhkan Standar Isi </w:t>
      </w:r>
      <w:r w:rsidDel="00000000" w:rsidR="00000000" w:rsidRPr="00000000">
        <w:rPr>
          <w:rtl w:val="0"/>
        </w:rPr>
        <w:t xml:space="preserve">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agar Program Studi menghasilkan lulusan yang bermutu baik sesuai dengan Kualifikasi Kompetensi Nasional Indonesia (KKNI), memiliki integritas moral dan etika, profesionalisme, serta mampu bekerja sama dalam tim.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PROSES PEMBELAJARAN</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 menetapkan tingkat kedalaman dan keluasan materi Pembelajaran sebagaimana dimaksud dalam Pasal 8 ayat (1) untuk setiap program pendidikan, dirumuskan dengan mengacu pada deskripsi capaian pembelajaran lulusan dari KKNI.</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 menetapkan tingkat kedalaman dan keluasan materi Pembelajaran sebagaimana dimaksud pada ayat (1) sebagai berikut:</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Lulusan program diploma tiga paling sedikit menguasai konsep teoritis bidang pengetahuan dan keterampilan tertentu secara umum;</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Lulusan program diploma empat dan sarjana paling sedikit menguasai konsep teoritis bidang pengetahuan dan keterampilan tertentu secara umum dan konsep teoritis bagian khusus dalam bidang pengetahuan dan keterampilan tersebut secara mendalam;</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 menetapkan tingkat kedalaman dan keluasan materi Pembelajaran sebagaimana dimaksud pada ayat (2) bersifat kumulatif dan/atau integratif.</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 menetapkan tingkat kedalaman dan keluasan materi pembelajaran sebagaimana dimaksud pada ayat (2) dituangkan dalam bahan kajian yang distrukturkan dalam bentuk mata kuliah.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 PROSES PEMBELAJARAN</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mengembangkan kurikulum Program Studi yang mendukung tercapainya Kompetensi Lulusan.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menerapkan integritas moral dan etika sejak penerimaan sebagai mahasiswa baru hingga penyelesaian Tugas Akhir.</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menyelenggarakan kursus Bahasa Inggris untuk mahasiswa.</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menyelenggarakan kegiatan praktikum menggunakan komputer dengan perangkat aplikasi yang sesuai.</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mengikutsertakan mahasiswa dalam kegiatan Penelitian dan Pengabdian kepada Masyarakat.</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 mendukung setiap kegiatan kemahasiswaan yang bertujuan meningkatkan kemampuan interpersonal dan kerja tim mahasiswa.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PROSES PEMBELAJARAN</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struktur kurikulum tingkat kedalaman dan keluasan materi pembelajaran sebagaimana dimaksud pada ayat (2) dituangkan dalam bahan kajian yang distrukturkan dalam bentuk mata kuliah.</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capaian pembelajaran program studi diturunkan dari profil lulusan yang mengacu pada hasil kesepakatan dengan 44 tahun 2015)/ SKKNI yang sesuai). asosiasi/profesi dan memenuhi level KKNI.</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Evaluasi dan pemutakhiran kurikulum secara berkala tiap 4 s.d. 5 tahun dengan melibatkan pemangku kepentingan internal dan eksternal, serta direview oleh pakar bidang ilmu program studi, industri, asosiasi, serta sesuai perkembangan ipteks dan kebutuhan pengguna</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studi membuat Buku Kurikulum Program Studi.</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studi melakukan peninjauan kurikulum setiap 4 (empat) tahun sekali.</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Tersusunnya 75% RPS untuk mata kuliah di kurikulum program studi.</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Rumusan kompetensi lulusan memuat unsur aspek sikap, pengetahuan dan keterampilan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ULBI</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PSMS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 Program Studi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82">
      <w:pPr>
        <w:spacing w:after="0" w:line="276" w:lineRule="auto"/>
        <w:ind w:left="284" w:firstLine="0"/>
        <w:jc w:val="both"/>
        <w:rPr>
          <w:color w:val="000000"/>
        </w:rPr>
      </w:pPr>
      <w:r w:rsidDel="00000000" w:rsidR="00000000" w:rsidRPr="00000000">
        <w:rPr>
          <w:rtl w:val="0"/>
        </w:rPr>
        <w:t xml:space="preserve">Dalam melaksanakan isi standar ini harus diperhatikan keterkaitannya dengan Standar Kualifikasi Kerja Nasional Indonesia (SKKNI) untuk bidang Logistik dan Transportasi.</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20 Tahun 2003 tentang Sistem Pendidikan Nasional</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14 Tahun 2005 tentang Guru dan Dosen</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12 Tahun 2012 tentang Pendidikan Tinggi</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Presiden Republik Indonesia Nomor 8 Tahun 2012 tentang Kerangka Kualifikasi Nasional Indonesia</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Republik Indonesia Nomor 4 Tahun 2014 tentang Penyelenggaraan Pendidikan Tinggi dan Pengelolaan Perguruan Tinggi</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Nomor 49 Tahun 2014 tentang Standar Nasional Pendidikan Tinggi</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44 Tahun 2015, tentang Standar Nasional Pendidikan Tinggi</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50 Tahun 2018  Tentang Perubahan No 44 Tahun 2015.</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32 Tahun 2016 tentang Akreditasi Program Studi dan Perguruan Tingg</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62 Tahun 2016 tentang Sistem Penjaminan Mutu Pendidikan Tinggi.</w:t>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3ibGA+Jfxo9C+eHY1ecm07l7g==">AMUW2mVJxLL+wu09tQShb5NqHpsVNDNoxyNelJlM7gCm9nofK18jnd+7HdeM9xcZsaDorMjscWa6HGB/FhFwSSsRAkHIJxZwTwB8/zKQExQuhoFQRxk3YqENkwXXJA5mO11cZc2xVErD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2022-10-28T07:28:00Z</dcterms:created>
  <dc:creator>Anggi WIdiya Purnama</dc:creator>
</cp:coreProperties>
</file>