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6"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 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t xml:space="preserve">12 Oktober 2022</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t xml:space="preserve">1</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PEMBIAYAAN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7"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A Good Governance and Excellent Teaching University in Logistic Business and Supply Chain Management in 202</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Membangun tata kelola universitas yang baik dan kuat dalam semua dimensi, baik tata kelola akademik maupun non-akademik sesuai dengan standar Akreditasi Nasional, standar pemeringkatan Universitas dunia, serta ISO 21001:2018.</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yang unggul/excellent dan mampu memperkaya student’s learning experiences, sehingga dapat menghasilkan lulusan yang kompetitif baik di level nasional maupun global.</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penelitian dan pengabdian kepada masyarakat melalui pemanfaatan Iptek untuk membantu peningkatan taraf kehidupan masyarakat.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Meningkatkan kualitas dan efektivitas operasional serta layanan kampus dengan membangun digitalisasi layanan akademik, sumber daya manusia (SDM) dan keuangan serta memperkuat infrastruktur teknologi informasi.</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Menjaga kesinambungan kinerja finansial untuk memperkuat pembangunan berkelanjutan ULBI dengan memperkuat marketing communication (marcom) dan admisi ULBI.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D">
      <w:pPr>
        <w:spacing w:after="0" w:line="276" w:lineRule="auto"/>
        <w:ind w:left="426" w:firstLine="0"/>
        <w:jc w:val="both"/>
        <w:rPr>
          <w:color w:val="000000"/>
        </w:rPr>
      </w:pPr>
      <w:r w:rsidDel="00000000" w:rsidR="00000000" w:rsidRPr="00000000">
        <w:rPr>
          <w:color w:val="000000"/>
          <w:rtl w:val="0"/>
        </w:rPr>
        <w:t xml:space="preserve">Berkontribusi dalam penguatan transformasi ekonomi nasional menuju Indonesia maju, khususnya dalam pemenuhan sumber daya manusia yang unggul di bidang bisnis, logistik, dan supply chain management.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PEMBIAYAAN PEMBELAJARAN</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Maksud dari pembuatan Manual Standar Pembiayaan Pembelajaran Universitas Logistik &amp; Bisnis Internasional (ULBI) adalah untuk dijadikan sebagai arahan dan panduan dalam pelaksanaan kegiatan penetapan, pelaksanaan, evaluasi, pengendalian, dan peningkatan Standar Pembiayaan Pembelajaran di lingkungan Universitas Logistik &amp; Bisnis Internasional (ULBI).</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Pembiayaan Pembelajaran ULBI  adalah untuk:</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Menjadi arah serta landasan dalam penetapan, pelaksanaan, evaluasi,  pengendalian, dan peningkatan Standar Pembiayaan Pembelajaran di seluruh program studi di lingkungan Universitas Logistik &amp; Bisnis Internasional (ULBI);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Menjadi sarana komunikasi bagi seluruh pemangku kepentingan kegiatan pembiayaan pembelajaran di lingkungan Universitas Logistik &amp; Bisnis Internasional (ULBI).</w:t>
      </w:r>
    </w:p>
    <w:p w:rsidR="00000000" w:rsidDel="00000000" w:rsidP="00000000" w:rsidRDefault="00000000" w:rsidRPr="00000000" w14:paraId="00000046">
      <w:pPr>
        <w:spacing w:after="0" w:line="276" w:lineRule="auto"/>
        <w:ind w:left="709"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47">
      <w:pPr>
        <w:spacing w:after="0" w:line="276" w:lineRule="auto"/>
        <w:ind w:left="709" w:firstLine="0"/>
        <w:jc w:val="both"/>
        <w:rPr>
          <w:color w:val="000000"/>
        </w:rPr>
      </w:pPr>
      <w:r w:rsidDel="00000000" w:rsidR="00000000" w:rsidRPr="00000000">
        <w:rPr>
          <w:color w:val="000000"/>
          <w:rtl w:val="0"/>
        </w:rPr>
        <w:t xml:space="preserve">Secara khusus tujuan Manual Standar Pembiayaan Pembelajaran ULBI  adalah sebagai berikut :</w:t>
      </w:r>
    </w:p>
    <w:p w:rsidR="00000000" w:rsidDel="00000000" w:rsidP="00000000" w:rsidRDefault="00000000" w:rsidRPr="00000000" w14:paraId="0000004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Pembiayaan Pembelajaran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memberikan panduan bagi pimpinan Universitas, Fakultas, Direktorat, Program Studi, kepala biro, kepala bagian, dan kepala Sub Bagian dalam penyusunan, perancangan, perumusan dan penetapan standar pembiayaan pembelajaran di lingkungan Universitas Logistik &amp; Bisnis Internasional (ULBI).</w:t>
      </w:r>
    </w:p>
    <w:p w:rsidR="00000000" w:rsidDel="00000000" w:rsidP="00000000" w:rsidRDefault="00000000" w:rsidRPr="00000000" w14:paraId="0000004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Pelaksanaan Standar Pembiayaan Pembelajaran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melaksanakan dan merealisasikan yang telah ditetapkan pada standar pembiayaan pembelajaran di lingkungan Universitas Logistik &amp; Bisnis Internasional (ULBI).</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Evaluasi Standar Pembiayaan Pembelajaran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mengevaluasi pelaksanaan standar pembiayaan pembelajaran di lingkungan Universitas Logistik &amp; Bisnis Internasional (ULBI), sehingga isi standar dapat terpenuhi/tercapai.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hanging="709"/>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2.2.4</w:t>
        <w:tab/>
        <w:t xml:space="preserve">Tujuan Manual Pengendalian Standar Pembiayaan Pembelajaran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mengendalikan pelaksanaan standar pembiayaan pembelajaran di lingkungan Universitas Logistik &amp; Bisnis Internasional (ULBI), sehingga tujuan yang telah ditetapkan dapat dicapai secara optimal.</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hanging="709"/>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2.2.5</w:t>
        <w:tab/>
        <w:t xml:space="preserve">Tujuan Manual Peningkatan Standar Pembiayaan Pembelajaran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mengembangkan secara berkelanjutan peningkatan standar pembiayaan pembelajaran yang telah ditetapkan, dilaksanakan, dievaluasi dan dikendalikan dengan baik di lingkungan Universitas Logistik &amp; Bisnis Internasional (ULBI).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PROSES PEMBELAJARAN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pembiayaan pembelajaran adalah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dokumen berisi  petunjuk teknis tentang cara,  langkah, atau prosedur PPEPP standar pembiayaan pembelajaran secara berkelanjutan oleh pihak yang  bertanggung jawab dalam implementasi SPMI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&amp;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Manual standar pembiayaan pembelajaran mencakup PPEPP standar pembiayaan pembelajaran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berikut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Standar Pembiayaan Pembelajaran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Pelaksanaan Standar Pembiayaan Pembelajaran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 harus dilaksanakan dalam menunjang kegiatan penyelenggaraan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pendidikan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oleh semua unit kerja pada semua level manajemen</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Evaluasi Standar Pembiayaan Pembelajaran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standar pembiayaan pembelajaran 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pembiayaan pembelajaran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yang telah ditetapkan.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Pengendalian Standar Pembiayaan Pembelajaran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 telah dilaksanakan dan dievaluasi pada tahap sebelumnya. Pengendalian adalah tindakan koreksi agar standar pembiayaan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Peningkatan Standar Pembiayaan Pembelajaran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pelaksanaan isi standar pembiayaan pembelajaran 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pembiayaan pembelajaran tersebut dikembangkan/ditingkatkan untuk pencapaian ke siklus berikutnya.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pembiayaan pembelajaran merupakan kriteria minimal tentang komponen besaran biaya investasi dan biaya operasional yang disusun dalam rangka pemenuhan capaian pembelajaran lulusan.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merupakan suatu dokumen komunikasi teknis yang bertujuan memberikan bantuan untuk penggunaan suatu </w:t>
      </w:r>
      <w:r w:rsidDel="00000000" w:rsidR="00000000" w:rsidRPr="00000000">
        <w:rPr>
          <w:rtl w:val="0"/>
        </w:rPr>
        <w:t xml:space="preserve">sistem</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Mutu merupakan sesuatu yang memenuhi atau melebihi ekspektasi</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merupakan suatu norma atau persyaratan yang biasanya berupa suatu dokumen formal yang menciptakan kriteria, metode, proses dan praktik rekayasa atau teknis yang seragam</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Pembiayaan merupakan segala sesuatu yang berhubungan dengan biaya pembelajaran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merupakan proses, cara, perbuatan menjadikan orang atau makhluk hidup belajar</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Perencanaan merupakan suatu perbuatan merencanakan atau cara atau proses untuk menentukan tindakan-tindakan di masa depan yang sesuai melalui suatu tahapan pemilihan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merupakan suatu tindakan atau pelaksanaan dari sebuah rencana yang sudah disusun secara matang dan terperinci, implementasi biasanya dilakukan setelah perencanaan sudah dianggap siap</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Evaluasi merupakan proses pengukuran akan </w:t>
      </w:r>
      <w:r w:rsidDel="00000000" w:rsidR="00000000" w:rsidRPr="00000000">
        <w:rPr>
          <w:rtl w:val="0"/>
        </w:rPr>
        <w:t xml:space="preserve">efektivitas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strategi yang digunakan dalam upaya mencapai tujuan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Pengendalian merupakan proses penentuan, apa yang harus dicapai yaitu standar, apa yang sedang </w:t>
      </w:r>
      <w:r w:rsidDel="00000000" w:rsidR="00000000" w:rsidRPr="00000000">
        <w:rPr>
          <w:rtl w:val="0"/>
        </w:rPr>
        <w:t xml:space="preserve">dilakukan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pelaksanaan, menilai pelaksanaan dan apabila perlu melakukan perbaikan-perbaikan, sehingga pelaksanaan sesuai dengan rencana yaitu selaras dengan standar</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Peningkatan merupakan upaya untuk menambah derajat, tingkat dan kualitas maupun kuantitas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Fakultas dan/atau Program Studi merumuskan standar pembiayaan pembelajaran berdasarkan kebutuhan prodi, kebijakan bidang akademik serta kesepakatan keilmuan dan asosiasi profesi terkait kemudian diserahkan kepada KA.BAUK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KA. BAUK menyusun rencana kebijakan bidang keuangan terkait standar pembiayaan pembelajaran dan me review standar pembiayaan pembelajaran yang diterima dari Fakultas dan/atau Program Studi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Wakil Rektor II merencanakan proses perumusan kebijakan bidang keuangan terkait standar pembiayaan pembelajaran dengan  mempertimbangkan Statuta, Renstra, Visi dan Misi, serta peraturan perundang-undangan yang relevan, kemudian mereview ulang Bersama KA.BAUK atas pengajuan dari Fakultas dan/atau Program Studi, jika sudah sesuai dengan kebijakan dari Warek II maka dikirimkan ke Rektor untuk </w:t>
      </w:r>
      <w:r w:rsidDel="00000000" w:rsidR="00000000" w:rsidRPr="00000000">
        <w:rPr>
          <w:rtl w:val="0"/>
        </w:rPr>
        <w:t xml:space="preserve">ditetapkan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Rektor menetapkan standar pembiayaan pembelajaran, sesuai dengan rencana proses perumusan kebijakan bidang keuangan terkait proses pembelajaran.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Wakil Rektor II mensosialisasikan hasil penetapan Standar Pembiayaan Pembelajaran kepada pengelola Fakultas dan Program Studi.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Fakultas/Program Studi melaksanakan kegiatan pembelajaran sesuai dengan  penetapan Standar Pembiayaan Pembelajaran sebagai tolok ukur pencapaian standar pembiayaan pembelajaran.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KA.BAUK membuat dokumen tertulis Prosedur Pelaksanaan Standar Pembiayaan Pembelajaran untuk semua jenjang pendidikan, setelah melakukan persiapan evaluasi dan analisis standar pembiayaan pembelajaran setiap jenjang pendidikan, berdasarkan peraturan perundangan, kebijakan, serta kesepakatan asosiasi Fakultas/Program Studi, asosiasi profesi.</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Program Studi, melakukan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Pengukuran secara periodik setiap semester terhadap ketercapaian isi semua Standar Pembiayaan Pembelajaran;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pencatatan atau perekaman semua temuan berupa penyimpangan, kelalaian, kesalahan, atau sejenisnya dari pelaksanaan yang tidak sesuai dengan isi Standar Pembiayaan Pembelajaran;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pencatatan beberapa hasil berupa dokumen berisi catatan standar pembiayaan pembelajaran;dan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pemeriksaan dan mempelajari alasan atau penyebab terjadinya penyimpangan dari isi standar, atau bila isi standar pembiayaan pembelajaran gagal dicapai.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Program Studi membuat laporan tertulis secara periodik tentang semua hasil pengukuran dan membuat laporkan hasil pengukuran ketercapaian isi Standar Pembiayaan Pembelajaran kepada Dekan.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Dekan Fakultas membuat laporan kepada Wakil Rektor II secara periodik</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Warek II melakukan pemeriksaan terhadap pencapaian standar dan atau penyimpangan yang terjadi terhadap pencapaian standar, serta mempelajari alasan atau penyebab terjadinya penyimpangan dari  isi, atau apabila isi Standar Pembiayaan Pembelajaran gagal dicapai.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Warek II mengambil tindakan korektif untuk direkomendasikan kepada Fakultas terhadap setiap penyimpangan/ kegagalan ketercapaian isi Standar Pembiayaan Pembelajaran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Fakultas melalui Wakil Dekan I Bidang Akademik: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mencatat atau merekam semua tindakan korektif yang akan diambil untuk dilaksanakan Program Studi;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memantau terus menerus efek dari tindakan korektif tersebut;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membuat laporan tertulis secara periodik tentang semua hal yang menyangkut pengendalian standar pembiayaan pembelajaran; dan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melaporkan hasil  dari pengendalian standar kepada Rektor melalui Wakil Rektor II.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Wakil Rektor II: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mempelajari laporan hasil pengendalian Standar  Pembiayaan Pembelajaran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menyelenggarakan rapat untuk membicarakan hasil laporan dengan mengundang KA.BAUK, Dekan, dan Ketua Program Studi; dan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melakukan revisi isi Standar Pembiayaan Pembelajaran sehingga menjadi Standar Pembiayaan Pembelajaran baru yang memenuhi atau sesuai dengan kebutuhan pembelajaran akademik.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KA.BAUK mengevaluasi isi Standar Pembiayaan Pembelajaran.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Fakultas/Program Studi menyelenggarakan rapat untuk  mendiskusikan hasil laporan dengan mengundang semua Ka. Program Studi.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 PEMBIAYAAN PEMBELAJARAN</w:t>
      </w:r>
    </w:p>
    <w:tbl>
      <w:tblPr>
        <w:tblStyle w:val="Table2"/>
        <w:tblW w:w="847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12"/>
        <w:gridCol w:w="1362"/>
        <w:gridCol w:w="1014"/>
        <w:gridCol w:w="1457"/>
        <w:gridCol w:w="1356"/>
        <w:tblGridChange w:id="0">
          <w:tblGrid>
            <w:gridCol w:w="2070"/>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Rektor</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Wakil Rektor II</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KA.BAUK</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Dekan Fakultas</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 Prodi</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w:t>
      </w:r>
      <w:r w:rsidDel="00000000" w:rsidR="00000000" w:rsidRPr="00000000">
        <w:rPr>
          <w:rtl w:val="0"/>
        </w:rPr>
        <w:t xml:space="preserve">Operasional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Prosedur Pembiayaan Pembelajaran</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RRKA</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Proker</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Dokumen-Dokumen Pengajuan Panjar Program Studi</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Keuangan yang dapat merekam proses pembiayaan pembelajaran dan mengelola data untuk pemantauan dan evaluasi secara periodic agar terjadi peningkatan mutu pembelajaran yang berkelanjutan</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Pengembangan Aplikasi DIAS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 ULBI</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HoUFBkfUNZUE03Og5EN2nmChQ==">AMUW2mWyJ20O364uUISodgcJ8F2SZMClUrutOSzgeGlPbROfr0hqn/TPEa2HCJTP5VRPJUpjWuAt4fIXNj1Fsf/KyOD3CFkZ7yQm82SWtZGckgyL5XDBNJR+mp3bahiF2657eYCOWS2JkSsysE8mHlLhOvQa7uyE/nY308S3a2BUjQnHwHHhpCNhDmFtY3WmLxuqa9skxVHn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2022-10-12T10:56:00Z</dcterms:created>
  <dc:creator>Anggi WIdiya Purnama</dc:creator>
</cp:coreProperties>
</file>