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pPr>
            <w:r w:rsidDel="00000000" w:rsidR="00000000" w:rsidRPr="00000000">
              <w:rPr>
                <w:rtl w:val="0"/>
              </w:rPr>
            </w:r>
          </w:p>
        </w:tc>
        <w:tc>
          <w:tcPr>
            <w:vMerge w:val="restart"/>
          </w:tcPr>
          <w:p w:rsidR="00000000" w:rsidDel="00000000" w:rsidP="00000000" w:rsidRDefault="00000000" w:rsidRPr="00000000" w14:paraId="00000004">
            <w:pPr>
              <w:jc w:val="center"/>
              <w:rPr>
                <w:b w:val="1"/>
              </w:rPr>
            </w:pPr>
            <w:r w:rsidDel="00000000" w:rsidR="00000000" w:rsidRPr="00000000">
              <w:rPr>
                <w:b w:val="1"/>
                <w:rtl w:val="0"/>
              </w:rPr>
              <w:t xml:space="preserve">UNIVERSITAS LOGISTIK &amp; BISNIS INTERNASIONAL</w:t>
            </w:r>
          </w:p>
          <w:p w:rsidR="00000000" w:rsidDel="00000000" w:rsidP="00000000" w:rsidRDefault="00000000" w:rsidRPr="00000000" w14:paraId="00000005">
            <w:pPr>
              <w:jc w:val="center"/>
              <w:rPr>
                <w:b w:val="1"/>
                <w:color w:val="202124"/>
                <w:highlight w:val="white"/>
              </w:rPr>
            </w:pPr>
            <w:r w:rsidDel="00000000" w:rsidR="00000000" w:rsidRPr="00000000">
              <w:rPr>
                <w:b w:val="1"/>
                <w:rtl w:val="0"/>
              </w:rPr>
              <w:t xml:space="preserve">Jl. Sari Asih No 54 </w:t>
            </w:r>
            <w:r w:rsidDel="00000000" w:rsidR="00000000" w:rsidRPr="00000000">
              <w:rPr>
                <w:b w:val="1"/>
                <w:color w:val="202124"/>
                <w:highlight w:val="white"/>
                <w:rtl w:val="0"/>
              </w:rPr>
              <w:t xml:space="preserve">Sarijadi, Kec. Sukasari, </w:t>
            </w:r>
          </w:p>
          <w:p w:rsidR="00000000" w:rsidDel="00000000" w:rsidP="00000000" w:rsidRDefault="00000000" w:rsidRPr="00000000" w14:paraId="00000006">
            <w:pPr>
              <w:jc w:val="center"/>
              <w:rPr>
                <w:b w:val="1"/>
                <w:color w:val="202124"/>
                <w:highlight w:val="white"/>
              </w:rPr>
            </w:pPr>
            <w:r w:rsidDel="00000000" w:rsidR="00000000" w:rsidRPr="00000000">
              <w:rPr>
                <w:b w:val="1"/>
                <w:color w:val="202124"/>
                <w:highlight w:val="white"/>
                <w:rtl w:val="0"/>
              </w:rPr>
              <w:t xml:space="preserve">Kota Bandung, 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pPr>
            <w:r w:rsidDel="00000000" w:rsidR="00000000" w:rsidRPr="00000000">
              <w:rPr>
                <w:b w:val="1"/>
                <w:rtl w:val="0"/>
              </w:rPr>
              <w:t xml:space="preserve">MANUAL 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STANDAR PENILAIAN PEMBELAJARAN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 PENILAIAN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UNIVERSITAS LOGISTIK &amp; BISNIS INTERNASIONAL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2022</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2026</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 DAN TUJUAN MANUAL STANDAR PENILAIAN PEMBELAJARAN</w:t>
      </w:r>
    </w:p>
    <w:p w:rsidR="00000000" w:rsidDel="00000000" w:rsidP="00000000" w:rsidRDefault="00000000" w:rsidRPr="00000000" w14:paraId="000000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Penilaian Pembelajaran ini memberikan pedoman bagi Rektor, Wakil Rektor Bidang Akademik, dan Kaprodi/Ka. Unit, dosen, tenaga kependidikan,auditor, auditee untuk melakukan Penetapan, Pelaksanaan, Evaluasi, Pengendalian dan Peningkatan Standar Penilaian Pembelajaran.</w:t>
      </w:r>
    </w:p>
    <w:p w:rsidR="00000000" w:rsidDel="00000000" w:rsidP="00000000" w:rsidRDefault="00000000" w:rsidRPr="00000000" w14:paraId="0000005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umum, tujuan Manual Standar Penilaian pembelajaran ULBI  adalah untuk:</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Panduan bagi Pejabat struktural dan atau unit khusus SPMI maupun dosen dan non dosen dalam menetapkan standar sesuai dengan wewenang dan tugas masing masing dalam mewujudkan budaya mutu</w:t>
      </w:r>
    </w:p>
    <w:p w:rsidR="00000000" w:rsidDel="00000000" w:rsidP="00000000" w:rsidRDefault="00000000" w:rsidRPr="00000000" w14:paraId="000000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Petunjuk bagaimana standar Dikti dapat ditetapkan dan ditetapkan kembali apabila standar telah tercapai</w:t>
      </w:r>
    </w:p>
    <w:p w:rsidR="00000000" w:rsidDel="00000000" w:rsidP="00000000" w:rsidRDefault="00000000" w:rsidRPr="00000000" w14:paraId="000000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Bukti tertulis bahwa SPMI di PT memang benar benar telah diimplementasikan dan</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Tujuan manual Penetapan Standar Penilaian Pembelajaran ULBI </w:t>
        <w:br w:type="textWrapping"/>
        <w:t xml:space="preserve">adalah menghasilkan dokumen tertulis berisi petunjuk mengenai mekanisme penetapan seluruh standar SPMI serta dokumen lainnya di ULBI yang berlaku secara legal yang ditetapkan oleh Ketua Yayasan Pendidikan Haji Agus Salim (YPHAS).</w:t>
      </w:r>
    </w:p>
    <w:p w:rsidR="00000000" w:rsidDel="00000000" w:rsidP="00000000" w:rsidRDefault="00000000" w:rsidRPr="00000000" w14:paraId="00000060">
      <w:pPr>
        <w:spacing w:after="0" w:line="276" w:lineRule="auto"/>
        <w:ind w:left="709"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61">
      <w:pPr>
        <w:spacing w:after="0" w:line="276" w:lineRule="auto"/>
        <w:ind w:left="774" w:firstLine="0"/>
        <w:jc w:val="both"/>
        <w:rPr>
          <w:color w:val="000000"/>
        </w:rPr>
      </w:pPr>
      <w:r w:rsidDel="00000000" w:rsidR="00000000" w:rsidRPr="00000000">
        <w:rPr>
          <w:color w:val="000000"/>
          <w:rtl w:val="0"/>
        </w:rPr>
        <w:t xml:space="preserve">Secara khusus tujuan Manual Standar </w:t>
      </w:r>
      <w:r w:rsidDel="00000000" w:rsidR="00000000" w:rsidRPr="00000000">
        <w:rPr>
          <w:b w:val="1"/>
          <w:color w:val="000000"/>
          <w:rtl w:val="0"/>
        </w:rPr>
        <w:t xml:space="preserve">Penilaian pembelajaran</w:t>
      </w:r>
      <w:r w:rsidDel="00000000" w:rsidR="00000000" w:rsidRPr="00000000">
        <w:rPr>
          <w:color w:val="000000"/>
          <w:rtl w:val="0"/>
        </w:rPr>
        <w:t xml:space="preserve"> ULBI  adalah sebagai berikut :</w:t>
      </w:r>
    </w:p>
    <w:p w:rsidR="00000000" w:rsidDel="00000000" w:rsidP="00000000" w:rsidRDefault="00000000" w:rsidRPr="00000000" w14:paraId="00000062">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Penetapan Standar Penilaian Pembelajaran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Menyusun, merumuskan dan menetapkan standar penilaian pembelajaran bagi mahasiswa ULBI</w:t>
      </w:r>
    </w:p>
    <w:p w:rsidR="00000000" w:rsidDel="00000000" w:rsidP="00000000" w:rsidRDefault="00000000" w:rsidRPr="00000000" w14:paraId="0000006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Pelaksanaan Standar Penilaian Pembelajaran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segala kegiatan yang telah ditetapkan pada standar penilaian pembelajaran.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Evaluasi Standar Standar Penilaian Pembelajaran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Kegiatan evaluasi terhadap semua kegiatan standar penilaian pembelajaran yang telah dilaksanakan secara periodik</w:t>
      </w:r>
    </w:p>
    <w:p w:rsidR="00000000" w:rsidDel="00000000" w:rsidP="00000000" w:rsidRDefault="00000000" w:rsidRPr="00000000" w14:paraId="00000068">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Pengendalian Standar Penilaian Pembelajaran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penilaian pembelajaran yang telah </w:t>
      </w:r>
      <w:r w:rsidDel="00000000" w:rsidR="00000000" w:rsidRPr="00000000">
        <w:rPr>
          <w:rtl w:val="0"/>
        </w:rPr>
        <w:t xml:space="preserve">dievaluasi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dapat dikendalikan sehingga tujuan yang telah ditetapkan dapat tercapai dengan baik..</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Peningkatan Standar Penilaian Pembelajaran</w:t>
      </w:r>
    </w:p>
    <w:p w:rsidR="00000000" w:rsidDel="00000000" w:rsidP="00000000" w:rsidRDefault="00000000" w:rsidRPr="00000000" w14:paraId="0000006C">
      <w:pPr>
        <w:spacing w:after="0" w:line="240" w:lineRule="auto"/>
        <w:ind w:left="1560" w:firstLine="0"/>
        <w:rPr/>
      </w:pPr>
      <w:r w:rsidDel="00000000" w:rsidR="00000000" w:rsidRPr="00000000">
        <w:rPr>
          <w:rtl w:val="0"/>
        </w:rPr>
        <w:t xml:space="preserve">Meningkatkan standar penilaian pembelajaran yang telah ditetapkan dilaksanakan, dievaluasi dan dikendalikan dengan baik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LINGKUP MANUAL STANDAR PENILAIAN PEMBELAJARAN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 lingkup dari manual standar penilaian pembelajaran adalah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dokumen berisi  petunjuk teknis tentang cara,  langkah, atau prosedur PPEPP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secara berkelanjutan oleh pihak yang  bertanggung jawab dalam implementasi SPMI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&amp;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Manual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mencakup PPEPP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berikut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Penetapan Standar Penilaian Pembelajaran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dirancang, dirumuskan, dan ditetapkan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Pelaksanaan Standar Penilaian Pembelajaran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harus dilaksanakan dalam menunjang kegiatan penyelenggaraan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oleh semua unit kerja pada semua level manajemen</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Evaluasi Standar Penilaian Pembelajaran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dilakukan evaluasi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secara berkelanjutan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mengetahui apakah standar penilaian pembelajaran dicapai sesuai dengan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penilaian pembelajaran yang telah ditetapkan.</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Pengendalian Standar Penilaian Pembelajaran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telah dilaksanakan dan dievaluasi pada tahap sebelumnya. Pengendalian adalah tindakan koreksi agar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terpenuhi</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Peningkatan Standar Proses Pembelajaran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pelaksanaan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telah berakhir dalam satu siklus, kemudian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tersebut dikembangkan/ditingkatkan untuk pencapaian ke siklus berikutnya.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suatu dokumen komunikasi teknis yang bertujuan memberikan bantuan untuk penggunaan suatu sistem</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Mutu,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sesuatu yang memenuhi atau melebihi ekspektasi</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suatu norma atau persyaratan yang biasanya berupa suatu dokumen formal yang menciptakan kriteria, metode, proses, dan praktik rekayasa atau teknis yang seragam</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Penilaian,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proses, cara, perbuatan menilai; pemberian nilai pada kegiatan belajar mengajar dalam lingkup perguruan tinggi.</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proses, cara, perbuatan menjadikan orang atau makhluk hidup belajar;</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Menyusun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merupakan suatu kegiatan atau kegiatan memproses suatu data atau kumpulan data yang dilakukan oleh suatu organisasi atau perorangan secara baik dan teratur</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Merumuskan,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dapat menyatakan suatu tindakan, keberadaan, pengalaman, atau pengertian dinamis lainnya.</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suatu tindakan atau pelaksanaan dari sebuah rencana yang sudah disusun secara matang dan terperinci, implementasi biasanya dilakukan setelah perencanaan sudah dianggap siap.</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pengukuran akan </w:t>
      </w:r>
      <w:r w:rsidDel="00000000" w:rsidR="00000000" w:rsidRPr="00000000">
        <w:rPr>
          <w:rtl w:val="0"/>
        </w:rPr>
        <w:t xml:space="preserve">efektivitas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strategi yang digunakan dalam upaya mencapai tujuan</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penentuan, apa yang harus </w:t>
      </w:r>
      <w:r w:rsidDel="00000000" w:rsidR="00000000" w:rsidRPr="00000000">
        <w:rPr>
          <w:rtl w:val="0"/>
        </w:rPr>
        <w:t xml:space="preserve">dicapai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yaitu standar, apa yang sedang </w:t>
      </w:r>
      <w:r w:rsidDel="00000000" w:rsidR="00000000" w:rsidRPr="00000000">
        <w:rPr>
          <w:rtl w:val="0"/>
        </w:rPr>
        <w:t xml:space="preserve">dilakukan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yaitu pelaksanaan, menilai pelaksanaan dan apabila perlu melakukan perbaikan perbaikan, sehingga pelaksanaan sesuai dengan rencana yaitu selaras dengan standar.</w:t>
      </w:r>
    </w:p>
    <w:p w:rsidR="00000000" w:rsidDel="00000000" w:rsidP="00000000" w:rsidRDefault="00000000" w:rsidRPr="00000000" w14:paraId="0000008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upaya untuk menambah derajat, tingkat, dan kualitas maupun kuantitas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w:t>
      </w:r>
    </w:p>
    <w:p w:rsidR="00000000" w:rsidDel="00000000" w:rsidP="00000000" w:rsidRDefault="00000000" w:rsidRPr="00000000" w14:paraId="0000008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Penetapan Standar</w:t>
      </w:r>
    </w:p>
    <w:p w:rsidR="00000000" w:rsidDel="00000000" w:rsidP="00000000" w:rsidRDefault="00000000" w:rsidRPr="00000000" w14:paraId="0000008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menetapkan Standar Penilaian Pembelajaran yang mencakup</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(enam) aspek, yaitu prinsip penilaian, teknik dan instrumen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mekanisme dan prosedur penilaian, pelaksanaan penilaian,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pelaporan penilaian, dan kelulusan mahasiswa. Rumusan Standar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 diusulkan oleh Wakil Rektor Bidang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Akademik dan Kemahasiswaan bersama Direktur Pendidikan dan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Kemahasiswaan, Wakil Dekan, Ketua Program Studi, serta Tim </w:t>
      </w:r>
      <w:r w:rsidDel="00000000" w:rsidR="00000000" w:rsidRPr="00000000">
        <w:rPr>
          <w:rtl w:val="0"/>
        </w:rPr>
        <w:t xml:space="preserve">Ad Hoc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Penilaian Pembelajaran yang ditetapkan harus mengacu pada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44 Tahun 2015, dengan isi standar sebagai</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berikut:</w:t>
      </w:r>
    </w:p>
    <w:p w:rsidR="00000000" w:rsidDel="00000000" w:rsidP="00000000" w:rsidRDefault="00000000" w:rsidRPr="00000000" w14:paraId="0000008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Prinsip penilaian mencakup prinsip edukatif, otentik, objektif,</w:t>
        <w:br w:type="textWrapping"/>
        <w:t xml:space="preserve">akuntabel, dan transparan dan dilakukan secara terintegrasi.</w:t>
        <w:br w:type="textWrapping"/>
        <w:t xml:space="preserve">Yang dimaksud dengan prinsip-prinsip tersebut adalah sebagai</w:t>
        <w:br w:type="textWrapping"/>
        <w:t xml:space="preserve">berikut:</w:t>
      </w:r>
    </w:p>
    <w:p w:rsidR="00000000" w:rsidDel="00000000" w:rsidP="00000000" w:rsidRDefault="00000000" w:rsidRPr="00000000" w14:paraId="000000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Prinsip edukatif adalah merupakan penilaian yang memotivasi mahasiswa agar mampu memperbaiki perencanaan dan cara belajar dan meraih capaian pembelajaran lulusan.</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Prinsip otentik adalah merupakan penilaian yang berorientasi pada proses belajar yang berkesinambungan dan hasil belajar yang mencerminkan kemampuan mahasiswa pada saat proses pembelajaran berlangsung.</w:t>
      </w:r>
    </w:p>
    <w:p w:rsidR="00000000" w:rsidDel="00000000" w:rsidP="00000000" w:rsidRDefault="00000000" w:rsidRPr="00000000" w14:paraId="000000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Prinsip objektif adalah merupakan penilaian yang didasarkan pada standar yang disepakati antara dosen dan mahasiswa serta bebas dari pengaruh subjektivitas penilai dan yang dinilai.</w:t>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Prinsip akuntabel adalah merupakan penilaian yang dilaksanakan sesuai dengan prosedur dan kriteria yang jelas, disepakati pada awal kuliah, dan dipahami oleh mahasiswa.</w:t>
      </w:r>
    </w:p>
    <w:p w:rsidR="00000000" w:rsidDel="00000000" w:rsidP="00000000" w:rsidRDefault="00000000" w:rsidRPr="00000000" w14:paraId="000000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Prinsip transparan adalah merupakan penilaian yang prosedur dan hasil penilaiannya dapat diakses oleh semua pemangku kepentingan.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Teknik penilaian terdiri atas observasi, partisipasi, unjuk kerja, tes tertulis, tes lisan, dan angket.</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Instrumen penilaian terdiri atas penilaian proses dalam bentuk rubrik dan/atau penilaian hasil dalam bentuk portofolio atau karya desain.</w:t>
      </w:r>
    </w:p>
    <w:p w:rsidR="00000000" w:rsidDel="00000000" w:rsidP="00000000" w:rsidRDefault="00000000" w:rsidRPr="00000000" w14:paraId="00000096">
      <w:pPr>
        <w:numPr>
          <w:ilvl w:val="0"/>
          <w:numId w:val="26"/>
        </w:numPr>
        <w:spacing w:after="0" w:line="276" w:lineRule="auto"/>
        <w:ind w:left="1069" w:hanging="360"/>
        <w:jc w:val="both"/>
        <w:rPr>
          <w:sz w:val="22"/>
          <w:szCs w:val="22"/>
        </w:rPr>
      </w:pPr>
      <w:r w:rsidDel="00000000" w:rsidR="00000000" w:rsidRPr="00000000">
        <w:rPr>
          <w:rtl w:val="0"/>
        </w:rPr>
        <w:t xml:space="preserve">Penilaian sikap dapat menggunakan teknik penilaian observasi.</w:t>
      </w:r>
    </w:p>
    <w:p w:rsidR="00000000" w:rsidDel="00000000" w:rsidP="00000000" w:rsidRDefault="00000000" w:rsidRPr="00000000" w14:paraId="0000009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Penilaian penguasaan pengetahuan, keterampilan umum, dan keterampilan khusus dilakukan dengan memilih satu atau kombinasi dari berbagai teknik dan instrumen penilaian sebagaimana dimaksud pada ayat.</w:t>
      </w:r>
    </w:p>
    <w:p w:rsidR="00000000" w:rsidDel="00000000" w:rsidP="00000000" w:rsidRDefault="00000000" w:rsidRPr="00000000" w14:paraId="0000009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Hasil akhir penilaian merupakan integrasi antara berbagai teknik dan instrumen penilaian yang digunakan.</w:t>
      </w:r>
    </w:p>
    <w:p w:rsidR="00000000" w:rsidDel="00000000" w:rsidP="00000000" w:rsidRDefault="00000000" w:rsidRPr="00000000" w14:paraId="0000009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Mekanisme penilaian terdiri atas:</w:t>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menyusun, menyampaikan, menyepakati tahap, teknik, instrumen, kriteria, indikator, dan bobot penilaian antara penilai dan yang dinilai sesuai dengan rencana pembelajaran;</w:t>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melaksanakan proses penilaian sesuai dengan tahap, teknik, instrumen, kriteria, indikator, dan bobot penilaian yang memuat prinsip penilaian;</w:t>
      </w:r>
    </w:p>
    <w:p w:rsidR="00000000" w:rsidDel="00000000" w:rsidP="00000000" w:rsidRDefault="00000000" w:rsidRPr="00000000" w14:paraId="0000009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memberikan umpan balik dan kesempatan untuk mempertanyakan hasil penilaian kepada mahasiswa; dan</w:t>
      </w:r>
    </w:p>
    <w:p w:rsidR="00000000" w:rsidDel="00000000" w:rsidP="00000000" w:rsidRDefault="00000000" w:rsidRPr="00000000" w14:paraId="0000009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mendokumentasikan penilaian proses dan hasil belajar mahasiswa secara akuntabel dan transparan.</w:t>
      </w:r>
    </w:p>
    <w:p w:rsidR="00000000" w:rsidDel="00000000" w:rsidP="00000000" w:rsidRDefault="00000000" w:rsidRPr="00000000" w14:paraId="0000009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Prosedur penilaian mencakup tahap perencanaan, kegiatan pemberian tugas atau soal, observasi kinerja, pengembalian hasil observasi, dan pemberian nilai akhir.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Prosedur penilaian pada tahap perencanaan dapat dilakukan melalui penilaian bertahap dan/atau penilaian ulang.</w:t>
      </w:r>
    </w:p>
    <w:p w:rsidR="00000000" w:rsidDel="00000000" w:rsidP="00000000" w:rsidRDefault="00000000" w:rsidRPr="00000000" w14:paraId="000000A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Pelaksanaan penilaian dilakukan sesuai dengan rencana pembelajaran.</w:t>
      </w:r>
    </w:p>
    <w:p w:rsidR="00000000" w:rsidDel="00000000" w:rsidP="00000000" w:rsidRDefault="00000000" w:rsidRPr="00000000" w14:paraId="000000A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Pelaksanaan penilaian dilakukan oleh:</w:t>
      </w:r>
    </w:p>
    <w:p w:rsidR="00000000" w:rsidDel="00000000" w:rsidP="00000000" w:rsidRDefault="00000000" w:rsidRPr="00000000" w14:paraId="000000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dosen pengampu atau tim dosen pengampu;</w:t>
      </w:r>
    </w:p>
    <w:p w:rsidR="00000000" w:rsidDel="00000000" w:rsidP="00000000" w:rsidRDefault="00000000" w:rsidRPr="00000000" w14:paraId="000000A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dosen pengampu atau tim dosen pengampu dengan mengikutsertakan mahasiswa; dan/atau</w:t>
      </w:r>
    </w:p>
    <w:p w:rsidR="00000000" w:rsidDel="00000000" w:rsidP="00000000" w:rsidRDefault="00000000" w:rsidRPr="00000000" w14:paraId="000000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dosen pengampu atau tim dosen pengampu dengan mengikutsertakan pemangku kepentingan yang relevan.</w:t>
      </w:r>
    </w:p>
    <w:p w:rsidR="00000000" w:rsidDel="00000000" w:rsidP="00000000" w:rsidRDefault="00000000" w:rsidRPr="00000000" w14:paraId="000000A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Pelaksanaan penilaian untuk program subspesialis, program</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doktor, dan program doktor terapan wajib menyertakan tim</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penilai eksternal dari perguruan tinggi yang berbeda.</w:t>
      </w:r>
    </w:p>
    <w:p w:rsidR="00000000" w:rsidDel="00000000" w:rsidP="00000000" w:rsidRDefault="00000000" w:rsidRPr="00000000" w14:paraId="000000A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t xml:space="preserve">Pelaporan penilaian berupa kualifikasi keberhasilan mahasiswa dalam menempuh suatu mata kuliah yang dinyatakan dalam kisaran:</w:t>
      </w:r>
    </w:p>
    <w:p w:rsidR="00000000" w:rsidDel="00000000" w:rsidP="00000000" w:rsidRDefault="00000000" w:rsidRPr="00000000" w14:paraId="000000A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tl w:val="0"/>
        </w:rPr>
        <w:t xml:space="preserve">huruf A setara dengan angka 4 (empat) berkategori sangat baik;</w:t>
      </w:r>
    </w:p>
    <w:p w:rsidR="00000000" w:rsidDel="00000000" w:rsidP="00000000" w:rsidRDefault="00000000" w:rsidRPr="00000000" w14:paraId="000000A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tl w:val="0"/>
        </w:rPr>
        <w:t xml:space="preserve">huruf B setara dengan angka 3 (tiga) berkategori baik;</w:t>
      </w:r>
    </w:p>
    <w:p w:rsidR="00000000" w:rsidDel="00000000" w:rsidP="00000000" w:rsidRDefault="00000000" w:rsidRPr="00000000" w14:paraId="000000A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tl w:val="0"/>
        </w:rPr>
        <w:t xml:space="preserve">huruf C setara dengan angka 2 (dua) berkategori cukup;</w:t>
      </w:r>
    </w:p>
    <w:p w:rsidR="00000000" w:rsidDel="00000000" w:rsidP="00000000" w:rsidRDefault="00000000" w:rsidRPr="00000000" w14:paraId="000000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tl w:val="0"/>
        </w:rPr>
        <w:t xml:space="preserve">huruf D setara dengan angka 1 (satu) berkategori kurang; atau</w:t>
      </w:r>
    </w:p>
    <w:p w:rsidR="00000000" w:rsidDel="00000000" w:rsidP="00000000" w:rsidRDefault="00000000" w:rsidRPr="00000000" w14:paraId="000000A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tl w:val="0"/>
        </w:rPr>
        <w:t xml:space="preserve">huruf E setara dengan angka 0 (nol) berkategori sangat kurang.</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pPr>
      <w:r w:rsidDel="00000000" w:rsidR="00000000" w:rsidRPr="00000000">
        <w:rPr>
          <w:rtl w:val="0"/>
        </w:rPr>
        <w:t xml:space="preserve">Nilai dapat menggunakan huruf antara dan angka antara untuk nilai pada kisaran 0 (nol) sampai 4 (empat).</w:t>
      </w:r>
    </w:p>
    <w:p w:rsidR="00000000" w:rsidDel="00000000" w:rsidP="00000000" w:rsidRDefault="00000000" w:rsidRPr="00000000" w14:paraId="000000AD">
      <w:pPr>
        <w:numPr>
          <w:ilvl w:val="0"/>
          <w:numId w:val="13"/>
        </w:numPr>
        <w:spacing w:after="0" w:line="276" w:lineRule="auto"/>
        <w:ind w:left="1133.858267716535" w:hanging="435"/>
        <w:jc w:val="both"/>
        <w:rPr/>
      </w:pPr>
      <w:r w:rsidDel="00000000" w:rsidR="00000000" w:rsidRPr="00000000">
        <w:rPr>
          <w:rtl w:val="0"/>
        </w:rPr>
        <w:t xml:space="preserve">Hasil penilaian diumumkan kepada mahasiswa setelah satu tahap pembelajaran sesuai dengan rencana pembelajaran.</w:t>
      </w:r>
    </w:p>
    <w:p w:rsidR="00000000" w:rsidDel="00000000" w:rsidP="00000000" w:rsidRDefault="00000000" w:rsidRPr="00000000" w14:paraId="000000AE">
      <w:pPr>
        <w:numPr>
          <w:ilvl w:val="0"/>
          <w:numId w:val="13"/>
        </w:numPr>
        <w:spacing w:after="0" w:line="276" w:lineRule="auto"/>
        <w:ind w:left="1133.858267716535" w:hanging="435"/>
        <w:jc w:val="both"/>
        <w:rPr/>
      </w:pPr>
      <w:r w:rsidDel="00000000" w:rsidR="00000000" w:rsidRPr="00000000">
        <w:rPr>
          <w:rtl w:val="0"/>
        </w:rPr>
        <w:t xml:space="preserve">Hasil penilaian capaian pembelajaran lulusan di tiap semester dinyatakan dengan indeks prestasi semester (IPS).</w:t>
      </w:r>
    </w:p>
    <w:p w:rsidR="00000000" w:rsidDel="00000000" w:rsidP="00000000" w:rsidRDefault="00000000" w:rsidRPr="00000000" w14:paraId="000000AF">
      <w:pPr>
        <w:numPr>
          <w:ilvl w:val="0"/>
          <w:numId w:val="13"/>
        </w:numPr>
        <w:spacing w:after="0" w:line="276" w:lineRule="auto"/>
        <w:ind w:left="1133.858267716535" w:hanging="435"/>
        <w:jc w:val="both"/>
        <w:rPr/>
      </w:pPr>
      <w:r w:rsidDel="00000000" w:rsidR="00000000" w:rsidRPr="00000000">
        <w:rPr>
          <w:rtl w:val="0"/>
        </w:rPr>
        <w:t xml:space="preserve">Indeks prestasi semester (IPS) dinyatakan dalam besaran yang dihitung dengan cara menjumlahkan perkalian antara nilai huruf setiap mata kuliah yang ditempuh dan sks mata kuliah bersangkutan dibagi dengan jumlah sks mata kuliah yang diambil dalam satu semester.</w:t>
      </w:r>
    </w:p>
    <w:p w:rsidR="00000000" w:rsidDel="00000000" w:rsidP="00000000" w:rsidRDefault="00000000" w:rsidRPr="00000000" w14:paraId="000000B0">
      <w:pPr>
        <w:numPr>
          <w:ilvl w:val="0"/>
          <w:numId w:val="13"/>
        </w:numPr>
        <w:spacing w:after="0" w:line="276" w:lineRule="auto"/>
        <w:ind w:left="1133.858267716535" w:hanging="435"/>
        <w:jc w:val="both"/>
        <w:rPr/>
      </w:pPr>
      <w:r w:rsidDel="00000000" w:rsidR="00000000" w:rsidRPr="00000000">
        <w:rPr>
          <w:rtl w:val="0"/>
        </w:rPr>
        <w:t xml:space="preserve">Hasil penilaian capaian pembelajaran lulusan pada akhir program studi dinyatakan dengan indeks prestasi kumulatif (IPK).</w:t>
      </w:r>
    </w:p>
    <w:p w:rsidR="00000000" w:rsidDel="00000000" w:rsidP="00000000" w:rsidRDefault="00000000" w:rsidRPr="00000000" w14:paraId="000000B1">
      <w:pPr>
        <w:numPr>
          <w:ilvl w:val="0"/>
          <w:numId w:val="13"/>
        </w:numPr>
        <w:spacing w:after="0" w:line="276" w:lineRule="auto"/>
        <w:ind w:left="1133.858267716535" w:hanging="435"/>
        <w:jc w:val="both"/>
        <w:rPr/>
      </w:pPr>
      <w:r w:rsidDel="00000000" w:rsidR="00000000" w:rsidRPr="00000000">
        <w:rPr>
          <w:rtl w:val="0"/>
        </w:rPr>
        <w:t xml:space="preserve">Indeks prestasi kumulatif (IPK) dinyatakan dalam besaran yang dihitung dengan cara menjumlahkan perkalian antara nilai huruf setiap mata kuliah yang ditempuh dan sks mata kuliah bersangkutan dibagi dengan jumlah sks mata kuliah yang diambil yang telah ditempuh.</w:t>
      </w:r>
    </w:p>
    <w:p w:rsidR="00000000" w:rsidDel="00000000" w:rsidP="00000000" w:rsidRDefault="00000000" w:rsidRPr="00000000" w14:paraId="000000B2">
      <w:pPr>
        <w:numPr>
          <w:ilvl w:val="0"/>
          <w:numId w:val="13"/>
        </w:numPr>
        <w:spacing w:after="0" w:line="276" w:lineRule="auto"/>
        <w:ind w:left="1133.858267716535" w:hanging="435"/>
        <w:jc w:val="both"/>
        <w:rPr/>
      </w:pPr>
      <w:r w:rsidDel="00000000" w:rsidR="00000000" w:rsidRPr="00000000">
        <w:rPr>
          <w:rtl w:val="0"/>
        </w:rPr>
        <w:t xml:space="preserve">Mahasiswa program diploma dan program sarjana dinyatakan lulus apabila telah menempuh seluruh beban belajar yang ditetapkan dan memiliki capaian pembelajaran lulusan yang ditargetkan oleh program studi dengan indeks prestasi kumulatif (IPK) lebih besar atau sama dengan 2,00 (dua koma nol nol).</w:t>
      </w:r>
    </w:p>
    <w:p w:rsidR="00000000" w:rsidDel="00000000" w:rsidP="00000000" w:rsidRDefault="00000000" w:rsidRPr="00000000" w14:paraId="000000B3">
      <w:pPr>
        <w:numPr>
          <w:ilvl w:val="0"/>
          <w:numId w:val="13"/>
        </w:numPr>
        <w:spacing w:after="0" w:line="276" w:lineRule="auto"/>
        <w:ind w:left="1133.858267716535" w:hanging="435"/>
        <w:jc w:val="both"/>
        <w:rPr/>
      </w:pPr>
      <w:r w:rsidDel="00000000" w:rsidR="00000000" w:rsidRPr="00000000">
        <w:rPr>
          <w:rtl w:val="0"/>
        </w:rPr>
        <w:t xml:space="preserve">Kelulusan mahasiswa dari program diploma dan program sarjana dapat diberikan predikat memuaskan, sangat memuaskan, atau pujian dengan kriteria:</w:t>
      </w:r>
    </w:p>
    <w:p w:rsidR="00000000" w:rsidDel="00000000" w:rsidP="00000000" w:rsidRDefault="00000000" w:rsidRPr="00000000" w14:paraId="000000B4">
      <w:pPr>
        <w:numPr>
          <w:ilvl w:val="0"/>
          <w:numId w:val="8"/>
        </w:numPr>
        <w:spacing w:after="0" w:line="276" w:lineRule="auto"/>
        <w:ind w:left="1440" w:hanging="360"/>
        <w:jc w:val="both"/>
        <w:rPr/>
      </w:pPr>
      <w:r w:rsidDel="00000000" w:rsidR="00000000" w:rsidRPr="00000000">
        <w:rPr>
          <w:rtl w:val="0"/>
        </w:rPr>
        <w:t xml:space="preserve">mahasiswa dinyatakan lulus dengan predikat memuaskan apabila mencapai indeks prestasi kumulatif (IPK) 2,76 (dua koma tujuh enam) sampai dengan 3,00 (tiga koma nol nol);</w:t>
      </w:r>
    </w:p>
    <w:p w:rsidR="00000000" w:rsidDel="00000000" w:rsidP="00000000" w:rsidRDefault="00000000" w:rsidRPr="00000000" w14:paraId="000000B5">
      <w:pPr>
        <w:numPr>
          <w:ilvl w:val="0"/>
          <w:numId w:val="8"/>
        </w:numPr>
        <w:spacing w:after="0" w:line="276" w:lineRule="auto"/>
        <w:ind w:left="1440" w:hanging="360"/>
        <w:jc w:val="both"/>
        <w:rPr/>
      </w:pPr>
      <w:r w:rsidDel="00000000" w:rsidR="00000000" w:rsidRPr="00000000">
        <w:rPr>
          <w:rtl w:val="0"/>
        </w:rPr>
        <w:t xml:space="preserve">mahasiswa dinyatakan lulus dengan predikat sangat memuaskan apabila mencapai indeks prestasi kumulatif (IPK) 3,01 (tiga koma nol satu) sampai dengan 3,50 (tiga koma lima nol); atau mahasiswa dinyatakan lulus dengan predikat pujian apabila mencapai indeks prestasi kumulatif (IPK) lebih dari 3,50 (tiga koma nol).</w:t>
      </w:r>
    </w:p>
    <w:p w:rsidR="00000000" w:rsidDel="00000000" w:rsidP="00000000" w:rsidRDefault="00000000" w:rsidRPr="00000000" w14:paraId="000000B6">
      <w:pPr>
        <w:numPr>
          <w:ilvl w:val="0"/>
          <w:numId w:val="30"/>
        </w:numPr>
        <w:spacing w:after="0" w:line="276" w:lineRule="auto"/>
        <w:ind w:left="1133.858267716535" w:hanging="360"/>
        <w:jc w:val="both"/>
        <w:rPr/>
      </w:pPr>
      <w:r w:rsidDel="00000000" w:rsidR="00000000" w:rsidRPr="00000000">
        <w:rPr>
          <w:rtl w:val="0"/>
        </w:rPr>
        <w:t xml:space="preserve">Mahasiswa program profesi, program spesialis, program magister, program magister terapan, program doktor, dan program doktor terapan dinyatakan lulus apabila telah menempuh seluruh beban belajar yang ditetapkan dan memiliki capaian pembelajaran lulusan yang ditargetkan oleh program studi dengan indeks prestasi kumulatif (IPK) lebih besar atau sama dengan 3,00 (tiga koma nol nol).</w:t>
      </w:r>
    </w:p>
    <w:p w:rsidR="00000000" w:rsidDel="00000000" w:rsidP="00000000" w:rsidRDefault="00000000" w:rsidRPr="00000000" w14:paraId="000000B7">
      <w:pPr>
        <w:numPr>
          <w:ilvl w:val="0"/>
          <w:numId w:val="30"/>
        </w:numPr>
        <w:spacing w:after="0" w:line="276" w:lineRule="auto"/>
        <w:ind w:left="1133.858267716535" w:hanging="360"/>
        <w:jc w:val="both"/>
        <w:rPr/>
      </w:pPr>
      <w:r w:rsidDel="00000000" w:rsidR="00000000" w:rsidRPr="00000000">
        <w:rPr>
          <w:rtl w:val="0"/>
        </w:rPr>
        <w:t xml:space="preserve">Kelulusan mahasiswa dari program profesi, program spesialis, program magister, program magister terapan, program doktor, program doktor terapan, dapat diberikan predikat memuaskan, sangat memuaskan, dan pujian dengan kriteria:</w:t>
      </w:r>
    </w:p>
    <w:p w:rsidR="00000000" w:rsidDel="00000000" w:rsidP="00000000" w:rsidRDefault="00000000" w:rsidRPr="00000000" w14:paraId="000000B8">
      <w:pPr>
        <w:numPr>
          <w:ilvl w:val="0"/>
          <w:numId w:val="11"/>
        </w:numPr>
        <w:spacing w:after="0" w:line="276" w:lineRule="auto"/>
        <w:ind w:left="1440" w:hanging="360"/>
        <w:jc w:val="both"/>
        <w:rPr/>
      </w:pPr>
      <w:r w:rsidDel="00000000" w:rsidR="00000000" w:rsidRPr="00000000">
        <w:rPr>
          <w:rtl w:val="0"/>
        </w:rPr>
        <w:t xml:space="preserve">mahasiswa dinyatakan lulus dengan predikat memuaskan apabila mencapai indeks prestasi kumulatif (IPK) 3,00 (tiga koma nol nol) sampai dengan 3,50 (tiga koma lima nol);</w:t>
      </w:r>
    </w:p>
    <w:p w:rsidR="00000000" w:rsidDel="00000000" w:rsidP="00000000" w:rsidRDefault="00000000" w:rsidRPr="00000000" w14:paraId="000000B9">
      <w:pPr>
        <w:numPr>
          <w:ilvl w:val="0"/>
          <w:numId w:val="11"/>
        </w:numPr>
        <w:spacing w:after="0" w:line="276" w:lineRule="auto"/>
        <w:ind w:left="1440" w:hanging="360"/>
        <w:jc w:val="both"/>
        <w:rPr/>
      </w:pPr>
      <w:r w:rsidDel="00000000" w:rsidR="00000000" w:rsidRPr="00000000">
        <w:rPr>
          <w:rtl w:val="0"/>
        </w:rPr>
        <w:t xml:space="preserve">mahasiswa dinyatakan lulus dengan predikat sangat memuaskan apabila mencapai indeks prestasi kumulatif (IPK) 3,51(tiga koma lima satu) sampai dengan 3,75 (tiga koma tujuh lima); atau mahasiswa dinyatakan lulus dengan predikat pujian apabila mencapai indeks prestasi kumulatif</w:t>
        <w:br w:type="textWrapping"/>
        <w:t xml:space="preserve">(IPK) lebih dari 3,75 (tiga koma tujuh lima).</w:t>
      </w:r>
    </w:p>
    <w:p w:rsidR="00000000" w:rsidDel="00000000" w:rsidP="00000000" w:rsidRDefault="00000000" w:rsidRPr="00000000" w14:paraId="000000BA">
      <w:pPr>
        <w:numPr>
          <w:ilvl w:val="0"/>
          <w:numId w:val="23"/>
        </w:numPr>
        <w:spacing w:after="0" w:line="276" w:lineRule="auto"/>
        <w:ind w:left="1133.858267716535" w:hanging="360"/>
        <w:jc w:val="both"/>
        <w:rPr/>
      </w:pPr>
      <w:r w:rsidDel="00000000" w:rsidR="00000000" w:rsidRPr="00000000">
        <w:rPr>
          <w:rtl w:val="0"/>
        </w:rPr>
        <w:t xml:space="preserve">Mahasiswa yang dinyatakan lulus berhak memperoleh:</w:t>
      </w:r>
    </w:p>
    <w:p w:rsidR="00000000" w:rsidDel="00000000" w:rsidP="00000000" w:rsidRDefault="00000000" w:rsidRPr="00000000" w14:paraId="000000BB">
      <w:pPr>
        <w:numPr>
          <w:ilvl w:val="0"/>
          <w:numId w:val="28"/>
        </w:numPr>
        <w:spacing w:after="0" w:line="276" w:lineRule="auto"/>
        <w:ind w:left="1440" w:hanging="360"/>
        <w:jc w:val="both"/>
        <w:rPr/>
      </w:pPr>
      <w:r w:rsidDel="00000000" w:rsidR="00000000" w:rsidRPr="00000000">
        <w:rPr>
          <w:rtl w:val="0"/>
        </w:rPr>
        <w:t xml:space="preserve">ijazah, bagi lulusan program diploma, program sarjana, program magister, program magister terapan, program doktor, dan program doktor terapan; </w:t>
      </w:r>
    </w:p>
    <w:p w:rsidR="00000000" w:rsidDel="00000000" w:rsidP="00000000" w:rsidRDefault="00000000" w:rsidRPr="00000000" w14:paraId="000000BC">
      <w:pPr>
        <w:numPr>
          <w:ilvl w:val="0"/>
          <w:numId w:val="28"/>
        </w:numPr>
        <w:spacing w:after="0" w:line="276" w:lineRule="auto"/>
        <w:ind w:left="1440" w:hanging="360"/>
        <w:jc w:val="both"/>
        <w:rPr/>
      </w:pPr>
      <w:r w:rsidDel="00000000" w:rsidR="00000000" w:rsidRPr="00000000">
        <w:rPr>
          <w:rtl w:val="0"/>
        </w:rPr>
        <w:t xml:space="preserve">sertifikat profesi, bagi lulusan program profesi;</w:t>
      </w:r>
    </w:p>
    <w:p w:rsidR="00000000" w:rsidDel="00000000" w:rsidP="00000000" w:rsidRDefault="00000000" w:rsidRPr="00000000" w14:paraId="000000BD">
      <w:pPr>
        <w:numPr>
          <w:ilvl w:val="0"/>
          <w:numId w:val="29"/>
        </w:numPr>
        <w:spacing w:after="0" w:line="276" w:lineRule="auto"/>
        <w:ind w:left="1133.858267716535" w:hanging="360"/>
        <w:jc w:val="both"/>
        <w:rPr/>
      </w:pPr>
      <w:bookmarkStart w:colFirst="0" w:colLast="0" w:name="_heading=h.gjdgxs" w:id="0"/>
      <w:bookmarkEnd w:id="0"/>
      <w:r w:rsidDel="00000000" w:rsidR="00000000" w:rsidRPr="00000000">
        <w:rPr>
          <w:rtl w:val="0"/>
        </w:rPr>
        <w:t xml:space="preserve">Mahasiswa program profesi, program spesialis, program magister, program magister terapan, program doktor, dan program doktor terapan dinyatakan lulus apabila telah menempuh seluruh beban belajar yang ditetapkan dan memiliki capaian pembelajaran lulusan yang ditargetkan oleh program studi dengan indeks prestasi kumulatif (IPK) lebih besar atau sama dengan 3,00 (tiga koma nol nol).</w:t>
      </w:r>
    </w:p>
    <w:p w:rsidR="00000000" w:rsidDel="00000000" w:rsidP="00000000" w:rsidRDefault="00000000" w:rsidRPr="00000000" w14:paraId="000000BE">
      <w:pPr>
        <w:numPr>
          <w:ilvl w:val="0"/>
          <w:numId w:val="29"/>
        </w:numPr>
        <w:spacing w:after="0" w:line="276" w:lineRule="auto"/>
        <w:ind w:left="1133.858267716535" w:hanging="360"/>
        <w:jc w:val="both"/>
        <w:rPr/>
      </w:pPr>
      <w:bookmarkStart w:colFirst="0" w:colLast="0" w:name="_heading=h.gjdgxs" w:id="0"/>
      <w:bookmarkEnd w:id="0"/>
      <w:r w:rsidDel="00000000" w:rsidR="00000000" w:rsidRPr="00000000">
        <w:rPr>
          <w:rtl w:val="0"/>
        </w:rPr>
        <w:t xml:space="preserve">Kelulusan mahasiswa dari program profesi, program spesialis, program magister, program magister terapan, program doktor, program doktor terapan, dapat diberikan predikat memuaskan, sangat memuaskan, dan pujian dengan kriteria:</w:t>
      </w:r>
    </w:p>
    <w:p w:rsidR="00000000" w:rsidDel="00000000" w:rsidP="00000000" w:rsidRDefault="00000000" w:rsidRPr="00000000" w14:paraId="000000BF">
      <w:pPr>
        <w:numPr>
          <w:ilvl w:val="0"/>
          <w:numId w:val="18"/>
        </w:numPr>
        <w:spacing w:after="0" w:line="276" w:lineRule="auto"/>
        <w:ind w:left="1440" w:hanging="360"/>
        <w:jc w:val="both"/>
        <w:rPr/>
      </w:pPr>
      <w:bookmarkStart w:colFirst="0" w:colLast="0" w:name="_heading=h.gjdgxs" w:id="0"/>
      <w:bookmarkEnd w:id="0"/>
      <w:r w:rsidDel="00000000" w:rsidR="00000000" w:rsidRPr="00000000">
        <w:rPr>
          <w:rtl w:val="0"/>
        </w:rPr>
        <w:t xml:space="preserve">mahasiswa dinyatakan lulus dengan predikat memuaskan apabila mencapai indeks prestasi kumulatif (IPK) 3,00 (tiga koma nol nol) sampai dengan 3,50 (tiga koma lima nol);</w:t>
      </w:r>
    </w:p>
    <w:p w:rsidR="00000000" w:rsidDel="00000000" w:rsidP="00000000" w:rsidRDefault="00000000" w:rsidRPr="00000000" w14:paraId="000000C0">
      <w:pPr>
        <w:numPr>
          <w:ilvl w:val="0"/>
          <w:numId w:val="18"/>
        </w:numPr>
        <w:spacing w:after="0" w:line="276" w:lineRule="auto"/>
        <w:ind w:left="1440" w:hanging="360"/>
        <w:jc w:val="both"/>
        <w:rPr/>
      </w:pPr>
      <w:bookmarkStart w:colFirst="0" w:colLast="0" w:name="_heading=h.gjdgxs" w:id="0"/>
      <w:bookmarkEnd w:id="0"/>
      <w:r w:rsidDel="00000000" w:rsidR="00000000" w:rsidRPr="00000000">
        <w:rPr>
          <w:rtl w:val="0"/>
        </w:rPr>
        <w:t xml:space="preserve">mahasiswa dinyatakan lulus dengan predikat sangat memuaskan apabila mencapai indeks prestasi kumulatif (IPK) 3,51(tiga koma lima satu) sampai dengan 3,75 (tiga koma tujuh lima); atau mahasiswa dinyatakan lulus dengan predikat pujian apabila mencapai indeks prestasi kumulatif</w:t>
        <w:br w:type="textWrapping"/>
        <w:t xml:space="preserve">(IPK) lebih dari 3,75 (tiga koma tujuh lima).</w:t>
      </w:r>
    </w:p>
    <w:p w:rsidR="00000000" w:rsidDel="00000000" w:rsidP="00000000" w:rsidRDefault="00000000" w:rsidRPr="00000000" w14:paraId="000000C1">
      <w:pPr>
        <w:numPr>
          <w:ilvl w:val="0"/>
          <w:numId w:val="12"/>
        </w:numPr>
        <w:spacing w:after="0" w:line="276" w:lineRule="auto"/>
        <w:ind w:left="1133.858267716535" w:hanging="360"/>
        <w:jc w:val="both"/>
        <w:rPr/>
      </w:pPr>
      <w:bookmarkStart w:colFirst="0" w:colLast="0" w:name="_heading=h.gjdgxs" w:id="0"/>
      <w:bookmarkEnd w:id="0"/>
      <w:r w:rsidDel="00000000" w:rsidR="00000000" w:rsidRPr="00000000">
        <w:rPr>
          <w:rtl w:val="0"/>
        </w:rPr>
        <w:t xml:space="preserve">Mahasiswa yang dinyatakan lulus berhak memperoleh:</w:t>
      </w:r>
    </w:p>
    <w:p w:rsidR="00000000" w:rsidDel="00000000" w:rsidP="00000000" w:rsidRDefault="00000000" w:rsidRPr="00000000" w14:paraId="000000C2">
      <w:pPr>
        <w:numPr>
          <w:ilvl w:val="0"/>
          <w:numId w:val="14"/>
        </w:numPr>
        <w:spacing w:after="0" w:line="276" w:lineRule="auto"/>
        <w:ind w:left="1440" w:hanging="360"/>
        <w:jc w:val="both"/>
        <w:rPr/>
      </w:pPr>
      <w:bookmarkStart w:colFirst="0" w:colLast="0" w:name="_heading=h.gjdgxs" w:id="0"/>
      <w:bookmarkEnd w:id="0"/>
      <w:r w:rsidDel="00000000" w:rsidR="00000000" w:rsidRPr="00000000">
        <w:rPr>
          <w:rtl w:val="0"/>
        </w:rPr>
        <w:t xml:space="preserve">ijazah, bagi lulusan program diploma, program sarjana, program magister, program magister terapan, program doktor, dan program doktor terapan;</w:t>
      </w:r>
    </w:p>
    <w:p w:rsidR="00000000" w:rsidDel="00000000" w:rsidP="00000000" w:rsidRDefault="00000000" w:rsidRPr="00000000" w14:paraId="000000C3">
      <w:pPr>
        <w:numPr>
          <w:ilvl w:val="0"/>
          <w:numId w:val="14"/>
        </w:numPr>
        <w:spacing w:after="0" w:line="276" w:lineRule="auto"/>
        <w:ind w:left="1440" w:hanging="360"/>
        <w:jc w:val="both"/>
        <w:rPr/>
      </w:pPr>
      <w:bookmarkStart w:colFirst="0" w:colLast="0" w:name="_heading=h.gjdgxs" w:id="0"/>
      <w:bookmarkEnd w:id="0"/>
      <w:r w:rsidDel="00000000" w:rsidR="00000000" w:rsidRPr="00000000">
        <w:rPr>
          <w:rtl w:val="0"/>
        </w:rPr>
        <w:t xml:space="preserve">sertifikat profesi, bagi lulusan program profesi;</w:t>
      </w:r>
    </w:p>
    <w:p w:rsidR="00000000" w:rsidDel="00000000" w:rsidP="00000000" w:rsidRDefault="00000000" w:rsidRPr="00000000" w14:paraId="000000C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Pelaksanaan Standar</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 mensosialisasikan Standar Penilaian Pembelajaran kepada pengelola Fakultas dan Program Studi, seluruh dosen, tenaga kependidikan secara periodik dan konsisten.</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Biro Akademik membuat dokumen tertulis Prosedur Pelaksanaan Standar Proses Pembelajaran untuk semua jenjang pendidikan, setelah melakukan persiapan evaluasi dan analisis standar penilaian pembelajaran setiap jenjang pendidikan, berdasarkan peraturan perundangan, kebijakan, serta kesepakatan asosiasi Fakultas/Program Studi, asosiasi profesi.</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Fakultas/Program Studi melaksanakan kegiatan penyelenggaraan Standar Kompetensi Lulusan sebagai tolok ukur pencapaian standar penilaian pembelajaran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Evaluasi Standar</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Direktur Pendidikan dan Kemahasiswaan bersama Manajer</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Akademik dan Kemahasiswaan membuat instrumen dan kelengkapan</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mekanisme kontrol agar kegiatan pembelajaran berjalan sesuai</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dengan isi Standar Penilaian Pembelajaran yang ditetapkan.</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Direktur Pendidikan dan Kemahasiswaan bersama Manajer</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Akademik dan Kemahasiswaan melakukan evaluasi tahapan</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pencapaian Standar Penilaian Pembelajaran secara berkala minimal</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satu tahun dua kali.</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Direktur Pendidikan dan Kemahasiswaan bersama Manajer</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Akademik dan Kemahasiswaan melaporkan hasil evaluasi kepada</w:t>
      </w:r>
      <w:r w:rsidDel="00000000" w:rsidR="00000000" w:rsidRPr="00000000">
        <w:rPr>
          <w:color w:val="231f20"/>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Bidang Akademik dan Kemahasiswaan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Pengendalian Standar</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Pendidikan dan Kemahasiswaan bersama Manajer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Akademik dan Kemahasiswaan melakukan pengendalian dengan cara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memeriksa dan pelajari catatan hasil evaluasi yang dilakukan pada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tahap sebelumnya, dan mempelajari alasan atau penyebab terjadinya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penyimpangan dari isi Standar Penilaian Pembelajaran sehingga isi</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Penilaian Pembelajaran gagal dicapai</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Pendidikan dan Kemahasiswaan bersama Manajer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Akademik dan Kemahasiswaan mengambil tindakan korektif </w:t>
      </w:r>
      <w:r w:rsidDel="00000000" w:rsidR="00000000" w:rsidRPr="00000000">
        <w:rPr>
          <w:rtl w:val="0"/>
        </w:rPr>
        <w:t xml:space="preserve">terhadap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setiap penyimpangan/kegagalan ketercapaian isi Standar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Pendidikan dan Kemahasiswaan, Direktur Sumber Daya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Pembelajaran dan Perpustakaan bersama Manajer Akademik dan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Kemahasiswaan memantau terus menerus efek dari tindakan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korektif;</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Pendidikan dan Kemahasiswaan bersama Manajer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Akademik dan Kemahasiswaan membuat laporan tertulis secara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periodik tentang semua hal yang menyangkut pengendalian Standar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 Laporan tersebut untuk dijadikan sebagai</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bahan pertimbangan dalam pengembangan/peningkatan Standar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Peningkatan Standar</w:t>
      </w:r>
    </w:p>
    <w:p w:rsidR="00000000" w:rsidDel="00000000" w:rsidP="00000000" w:rsidRDefault="00000000" w:rsidRPr="00000000" w14:paraId="000000D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w:t>
      </w:r>
      <w:r w:rsidDel="00000000" w:rsidR="00000000" w:rsidRPr="00000000">
        <w:rPr>
          <w:rtl w:val="0"/>
        </w:rPr>
        <w:t xml:space="preserve">Pendidikan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Kemahasiswaan Manajer </w:t>
      </w:r>
      <w:r w:rsidDel="00000000" w:rsidR="00000000" w:rsidRPr="00000000">
        <w:rPr>
          <w:rtl w:val="0"/>
        </w:rPr>
        <w:t xml:space="preserve">Akademik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Kemahasiswaan, serta Tim Adhoc merancang dan merumuskan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pengembangan/peningkatan Standar Penilaian Pembelajaran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berdasarkan hasil evaluasi dan pengendalian pelaksanaan Standar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 Pembelajaran.</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Bidang Akademik dan Kemahasiswaan mereview</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pengembangan Standar Penilaian Pembelajaran dengan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melibatkan pihak internal dan eksternal.</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69"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Retor menetapkan Standar Penilaian Pembelajaran baru yang telah</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dikembangkan/ditingkatkan..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MENJALANKAN MANUAL STANDAR PENILAIAN PEMBELAJARAN</w:t>
      </w:r>
    </w:p>
    <w:tbl>
      <w:tblPr>
        <w:tblStyle w:val="Table2"/>
        <w:tblW w:w="847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12"/>
        <w:gridCol w:w="1362"/>
        <w:gridCol w:w="1014"/>
        <w:gridCol w:w="1457"/>
        <w:gridCol w:w="1356"/>
        <w:tblGridChange w:id="0">
          <w:tblGrid>
            <w:gridCol w:w="2070"/>
            <w:gridCol w:w="1212"/>
            <w:gridCol w:w="1362"/>
            <w:gridCol w:w="1014"/>
            <w:gridCol w:w="1457"/>
            <w:gridCol w:w="1356"/>
          </w:tblGrid>
        </w:tblGridChange>
      </w:tblGrid>
      <w:tr>
        <w:trPr>
          <w:cantSplit w:val="0"/>
          <w:tblHeader w:val="0"/>
        </w:trPr>
        <w:tc>
          <w:tcPr>
            <w:shd w:fill="e7e6e6"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Pejabat/Petugas</w:t>
            </w:r>
          </w:p>
        </w:tc>
        <w:tc>
          <w:tcPr>
            <w:shd w:fill="e7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Penetapan</w:t>
            </w:r>
          </w:p>
        </w:tc>
        <w:tc>
          <w:tcPr>
            <w:shd w:fill="e7e6e6"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w:t>
            </w:r>
          </w:p>
        </w:tc>
        <w:tc>
          <w:tcPr>
            <w:shd w:fill="e7e6e6"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w:t>
            </w:r>
          </w:p>
        </w:tc>
        <w:tc>
          <w:tcPr>
            <w:shd w:fill="e7e6e6"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w:t>
            </w:r>
          </w:p>
        </w:tc>
        <w:tc>
          <w:tcPr>
            <w:shd w:fill="e7e6e6"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w:t>
            </w:r>
          </w:p>
        </w:tc>
      </w:tr>
      <w:tr>
        <w:trPr>
          <w:cantSplit w:val="0"/>
          <w:tblHeader w:val="0"/>
        </w:trPr>
        <w:tc>
          <w:tcPr/>
          <w:p w:rsidR="00000000" w:rsidDel="00000000" w:rsidP="00000000" w:rsidRDefault="00000000" w:rsidRPr="00000000" w14:paraId="000000E0">
            <w:pPr>
              <w:jc w:val="both"/>
              <w:rPr/>
            </w:pPr>
            <w:r w:rsidDel="00000000" w:rsidR="00000000" w:rsidRPr="00000000">
              <w:rPr>
                <w:rtl w:val="0"/>
              </w:rPr>
              <w:t xml:space="preserve">Rektor</w:t>
            </w:r>
          </w:p>
        </w:tc>
        <w:tc>
          <w:tcPr>
            <w:vAlign w:val="center"/>
          </w:tcPr>
          <w:p w:rsidR="00000000" w:rsidDel="00000000" w:rsidP="00000000" w:rsidRDefault="00000000" w:rsidRPr="00000000" w14:paraId="000000E1">
            <w:pPr>
              <w:jc w:val="center"/>
              <w:rPr/>
            </w:pPr>
            <w:r w:rsidDel="00000000" w:rsidR="00000000" w:rsidRPr="00000000">
              <w:rPr>
                <w:rtl w:val="0"/>
              </w:rPr>
              <w:t xml:space="preserve">X</w:t>
            </w:r>
          </w:p>
        </w:tc>
        <w:tc>
          <w:tcPr>
            <w:vAlign w:val="center"/>
          </w:tcPr>
          <w:p w:rsidR="00000000" w:rsidDel="00000000" w:rsidP="00000000" w:rsidRDefault="00000000" w:rsidRPr="00000000" w14:paraId="000000E2">
            <w:pPr>
              <w:jc w:val="center"/>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r>
          </w:p>
        </w:tc>
        <w:tc>
          <w:tcPr>
            <w:vAlign w:val="center"/>
          </w:tcPr>
          <w:p w:rsidR="00000000" w:rsidDel="00000000" w:rsidP="00000000" w:rsidRDefault="00000000" w:rsidRPr="00000000" w14:paraId="000000E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pPr>
            <w:r w:rsidDel="00000000" w:rsidR="00000000" w:rsidRPr="00000000">
              <w:rPr>
                <w:rtl w:val="0"/>
              </w:rPr>
              <w:t xml:space="preserve">Wakil Rektor I</w:t>
            </w:r>
          </w:p>
        </w:tc>
        <w:tc>
          <w:tcPr>
            <w:vAlign w:val="center"/>
          </w:tcPr>
          <w:p w:rsidR="00000000" w:rsidDel="00000000" w:rsidP="00000000" w:rsidRDefault="00000000" w:rsidRPr="00000000" w14:paraId="000000E7">
            <w:pPr>
              <w:jc w:val="center"/>
              <w:rPr/>
            </w:pPr>
            <w:r w:rsidDel="00000000" w:rsidR="00000000" w:rsidRPr="00000000">
              <w:rPr>
                <w:rtl w:val="0"/>
              </w:rPr>
            </w:r>
          </w:p>
        </w:tc>
        <w:tc>
          <w:tcPr>
            <w:vAlign w:val="center"/>
          </w:tcPr>
          <w:p w:rsidR="00000000" w:rsidDel="00000000" w:rsidP="00000000" w:rsidRDefault="00000000" w:rsidRPr="00000000" w14:paraId="000000E8">
            <w:pPr>
              <w:jc w:val="center"/>
              <w:rPr/>
            </w:pPr>
            <w:r w:rsidDel="00000000" w:rsidR="00000000" w:rsidRPr="00000000">
              <w:rPr>
                <w:rtl w:val="0"/>
              </w:rPr>
              <w:t xml:space="preserve">X</w:t>
            </w:r>
          </w:p>
        </w:tc>
        <w:tc>
          <w:tcPr>
            <w:vAlign w:val="center"/>
          </w:tcPr>
          <w:p w:rsidR="00000000" w:rsidDel="00000000" w:rsidP="00000000" w:rsidRDefault="00000000" w:rsidRPr="00000000" w14:paraId="000000E9">
            <w:pPr>
              <w:jc w:val="center"/>
              <w:rPr/>
            </w:pPr>
            <w:r w:rsidDel="00000000" w:rsidR="00000000" w:rsidRPr="00000000">
              <w:rPr>
                <w:rtl w:val="0"/>
              </w:rPr>
              <w:t xml:space="preserve">X</w:t>
            </w:r>
          </w:p>
        </w:tc>
        <w:tc>
          <w:tcPr>
            <w:vAlign w:val="center"/>
          </w:tcPr>
          <w:p w:rsidR="00000000" w:rsidDel="00000000" w:rsidP="00000000" w:rsidRDefault="00000000" w:rsidRPr="00000000" w14:paraId="000000EA">
            <w:pPr>
              <w:jc w:val="center"/>
              <w:rPr/>
            </w:pPr>
            <w:r w:rsidDel="00000000" w:rsidR="00000000" w:rsidRPr="00000000">
              <w:rPr>
                <w:rtl w:val="0"/>
              </w:rPr>
              <w:t xml:space="preserve">X</w:t>
            </w:r>
          </w:p>
        </w:tc>
        <w:tc>
          <w:tcPr>
            <w:vAlign w:val="center"/>
          </w:tcPr>
          <w:p w:rsidR="00000000" w:rsidDel="00000000" w:rsidP="00000000" w:rsidRDefault="00000000" w:rsidRPr="00000000" w14:paraId="000000EB">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EC">
            <w:pPr>
              <w:jc w:val="both"/>
              <w:rPr/>
            </w:pPr>
            <w:r w:rsidDel="00000000" w:rsidR="00000000" w:rsidRPr="00000000">
              <w:rPr>
                <w:rtl w:val="0"/>
              </w:rPr>
              <w:t xml:space="preserve">Wakil Rektor II</w:t>
            </w:r>
          </w:p>
        </w:tc>
        <w:tc>
          <w:tcPr>
            <w:vAlign w:val="center"/>
          </w:tcPr>
          <w:p w:rsidR="00000000" w:rsidDel="00000000" w:rsidP="00000000" w:rsidRDefault="00000000" w:rsidRPr="00000000" w14:paraId="000000ED">
            <w:pPr>
              <w:jc w:val="center"/>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2">
            <w:pPr>
              <w:jc w:val="both"/>
              <w:rPr/>
            </w:pPr>
            <w:r w:rsidDel="00000000" w:rsidR="00000000" w:rsidRPr="00000000">
              <w:rPr>
                <w:rtl w:val="0"/>
              </w:rPr>
              <w:t xml:space="preserve">Wakil Rektor III</w:t>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t xml:space="preserve">X</w:t>
            </w:r>
          </w:p>
        </w:tc>
        <w:tc>
          <w:tcPr>
            <w:vAlign w:val="center"/>
          </w:tcPr>
          <w:p w:rsidR="00000000" w:rsidDel="00000000" w:rsidP="00000000" w:rsidRDefault="00000000" w:rsidRPr="00000000" w14:paraId="000000F5">
            <w:pPr>
              <w:jc w:val="center"/>
              <w:rPr/>
            </w:pPr>
            <w:r w:rsidDel="00000000" w:rsidR="00000000" w:rsidRPr="00000000">
              <w:rPr>
                <w:rtl w:val="0"/>
              </w:rPr>
            </w:r>
          </w:p>
        </w:tc>
        <w:tc>
          <w:tcPr>
            <w:vAlign w:val="center"/>
          </w:tcPr>
          <w:p w:rsidR="00000000" w:rsidDel="00000000" w:rsidP="00000000" w:rsidRDefault="00000000" w:rsidRPr="00000000" w14:paraId="000000F6">
            <w:pPr>
              <w:jc w:val="center"/>
              <w:rPr/>
            </w:pPr>
            <w:r w:rsidDel="00000000" w:rsidR="00000000" w:rsidRPr="00000000">
              <w:rPr>
                <w:rtl w:val="0"/>
              </w:rPr>
            </w:r>
          </w:p>
        </w:tc>
        <w:tc>
          <w:tcPr>
            <w:vAlign w:val="center"/>
          </w:tcPr>
          <w:p w:rsidR="00000000" w:rsidDel="00000000" w:rsidP="00000000" w:rsidRDefault="00000000" w:rsidRPr="00000000" w14:paraId="000000F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pPr>
            <w:r w:rsidDel="00000000" w:rsidR="00000000" w:rsidRPr="00000000">
              <w:rPr>
                <w:rtl w:val="0"/>
              </w:rPr>
              <w:t xml:space="preserve">Ka. SPMI</w:t>
            </w:r>
          </w:p>
        </w:tc>
        <w:tc>
          <w:tcPr>
            <w:vAlign w:val="center"/>
          </w:tcPr>
          <w:p w:rsidR="00000000" w:rsidDel="00000000" w:rsidP="00000000" w:rsidRDefault="00000000" w:rsidRPr="00000000" w14:paraId="000000F9">
            <w:pPr>
              <w:jc w:val="center"/>
              <w:rPr/>
            </w:pPr>
            <w:r w:rsidDel="00000000" w:rsidR="00000000" w:rsidRPr="00000000">
              <w:rPr>
                <w:rtl w:val="0"/>
              </w:rPr>
            </w:r>
          </w:p>
        </w:tc>
        <w:tc>
          <w:tcPr>
            <w:vAlign w:val="center"/>
          </w:tcPr>
          <w:p w:rsidR="00000000" w:rsidDel="00000000" w:rsidP="00000000" w:rsidRDefault="00000000" w:rsidRPr="00000000" w14:paraId="000000FA">
            <w:pPr>
              <w:jc w:val="center"/>
              <w:rPr/>
            </w:pPr>
            <w:r w:rsidDel="00000000" w:rsidR="00000000" w:rsidRPr="00000000">
              <w:rPr>
                <w:rtl w:val="0"/>
              </w:rPr>
            </w:r>
          </w:p>
        </w:tc>
        <w:tc>
          <w:tcPr>
            <w:vAlign w:val="center"/>
          </w:tcPr>
          <w:p w:rsidR="00000000" w:rsidDel="00000000" w:rsidP="00000000" w:rsidRDefault="00000000" w:rsidRPr="00000000" w14:paraId="000000FB">
            <w:pPr>
              <w:jc w:val="center"/>
              <w:rPr/>
            </w:pPr>
            <w:r w:rsidDel="00000000" w:rsidR="00000000" w:rsidRPr="00000000">
              <w:rPr>
                <w:rtl w:val="0"/>
              </w:rPr>
              <w:t xml:space="preserve">X</w:t>
            </w:r>
          </w:p>
        </w:tc>
        <w:tc>
          <w:tcPr>
            <w:vAlign w:val="center"/>
          </w:tcPr>
          <w:p w:rsidR="00000000" w:rsidDel="00000000" w:rsidP="00000000" w:rsidRDefault="00000000" w:rsidRPr="00000000" w14:paraId="000000FC">
            <w:pPr>
              <w:jc w:val="center"/>
              <w:rPr/>
            </w:pPr>
            <w:r w:rsidDel="00000000" w:rsidR="00000000" w:rsidRPr="00000000">
              <w:rPr>
                <w:rtl w:val="0"/>
              </w:rPr>
              <w:t xml:space="preserve">X</w:t>
            </w:r>
          </w:p>
        </w:tc>
        <w:tc>
          <w:tcPr>
            <w:vAlign w:val="center"/>
          </w:tcPr>
          <w:p w:rsidR="00000000" w:rsidDel="00000000" w:rsidP="00000000" w:rsidRDefault="00000000" w:rsidRPr="00000000" w14:paraId="000000FD">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FE">
            <w:pPr>
              <w:jc w:val="both"/>
              <w:rPr/>
            </w:pPr>
            <w:r w:rsidDel="00000000" w:rsidR="00000000" w:rsidRPr="00000000">
              <w:rPr>
                <w:rtl w:val="0"/>
              </w:rPr>
              <w:t xml:space="preserve">Ka. Prodi</w:t>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t xml:space="preserve">X</w:t>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peraturan perundang-undangan di bidang pendidikan atau yang berkaitan dengan pendidikan</w:t>
      </w:r>
    </w:p>
    <w:p w:rsidR="00000000" w:rsidDel="00000000" w:rsidP="00000000" w:rsidRDefault="00000000" w:rsidRPr="00000000" w14:paraId="000001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Prosedur kerja atau SoP</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SARANA DAN PRASARANA YANG DIPERLUKAN</w:t>
      </w:r>
    </w:p>
    <w:p w:rsidR="00000000" w:rsidDel="00000000" w:rsidP="00000000" w:rsidRDefault="00000000" w:rsidRPr="00000000" w14:paraId="000001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Ruangan</w:t>
      </w:r>
    </w:p>
    <w:p w:rsidR="00000000" w:rsidDel="00000000" w:rsidP="00000000" w:rsidRDefault="00000000" w:rsidRPr="00000000" w14:paraId="000001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Meja</w:t>
      </w:r>
    </w:p>
    <w:p w:rsidR="00000000" w:rsidDel="00000000" w:rsidP="00000000" w:rsidRDefault="00000000" w:rsidRPr="00000000" w14:paraId="000001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 kursi</w:t>
      </w:r>
    </w:p>
    <w:p w:rsidR="00000000" w:rsidDel="00000000" w:rsidP="00000000" w:rsidRDefault="00000000" w:rsidRPr="00000000" w14:paraId="000001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Komputer</w:t>
      </w:r>
    </w:p>
    <w:p w:rsidR="00000000" w:rsidDel="00000000" w:rsidP="00000000" w:rsidRDefault="00000000" w:rsidRPr="00000000" w14:paraId="000001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Jaringan Internet</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ATK</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 ULBI</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color w:val="231f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708.6614173228347" w:hanging="360.00000000000006"/>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1069" w:hanging="360"/>
      </w:pPr>
      <w:rPr>
        <w:color w:val="000000"/>
        <w:sz w:val="25"/>
        <w:szCs w:val="25"/>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28"/>
      <w:numFmt w:val="decimal"/>
      <w:lvlText w:val="%1."/>
      <w:lvlJc w:val="left"/>
      <w:pPr>
        <w:ind w:left="1133.858267716535" w:hanging="359.999999999999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5"/>
      <w:numFmt w:val="decimalZero"/>
      <w:lvlText w:val="%1."/>
      <w:lvlJc w:val="left"/>
      <w:pPr>
        <w:ind w:left="1133.858267716535" w:hanging="434.999999999999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25"/>
      <w:numFmt w:val="decimal"/>
      <w:lvlText w:val="%1."/>
      <w:lvlJc w:val="left"/>
      <w:pPr>
        <w:ind w:left="1133.858267716535" w:hanging="359.999999999999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decimal"/>
      <w:lvlText w:val="%1."/>
      <w:lvlJc w:val="left"/>
      <w:pPr>
        <w:ind w:left="1069" w:hanging="360"/>
      </w:pPr>
      <w:rPr>
        <w:color w:val="000000"/>
        <w:sz w:val="25"/>
        <w:szCs w:val="25"/>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6">
    <w:lvl w:ilvl="0">
      <w:start w:val="1"/>
      <w:numFmt w:val="decimal"/>
      <w:lvlText w:val="%1."/>
      <w:lvlJc w:val="left"/>
      <w:pPr>
        <w:ind w:left="1069" w:hanging="360"/>
      </w:pPr>
      <w:rPr>
        <w:color w:val="000000"/>
        <w:sz w:val="25"/>
        <w:szCs w:val="25"/>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26"/>
      <w:numFmt w:val="decimal"/>
      <w:lvlText w:val="%1."/>
      <w:lvlJc w:val="left"/>
      <w:pPr>
        <w:ind w:left="1133.858267716535" w:hanging="359.999999999999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23"/>
      <w:numFmt w:val="decimal"/>
      <w:lvlText w:val="%1."/>
      <w:lvlJc w:val="left"/>
      <w:pPr>
        <w:ind w:left="1417.3228346456694"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basedOn w:val="Normal"/>
    <w:uiPriority w:val="34"/>
    <w:qFormat w:val="1"/>
    <w:rsid w:val="009D297C"/>
    <w:pPr>
      <w:ind w:left="720"/>
      <w:contextualSpacing w:val="1"/>
    </w:pPr>
  </w:style>
  <w:style w:type="character" w:styleId="markedcontent" w:customStyle="1">
    <w:name w:val="markedcontent"/>
    <w:basedOn w:val="DefaultParagraphFont"/>
    <w:rsid w:val="00096EE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LDbLpngtm9eIVCOklvRLdVzt4g==">AMUW2mXgxb2fXhn9cWOKTRToD5IngsidmDcJZ1zmKj27ixbgQpIFhGG3FV443mUod4sDmNj7jwdBO20BukBWno8NAAWho1h+K+yzThn5764eT2fRo0kj+KvpNxiT6DxeIyxRKhfVjNCuGDELgqJCyCe3pytzs0qdmeYfE02WMXf5GsyiOibOE+s1KNNHALs3P0OtQzdvzdSx1qJNmJghH2VVGCLeXv7OWQ==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2022-10-28T06:41:00Z</dcterms:created>
  <dc:creator>Anggi WIdiya Purnama</dc:creator>
</cp:coreProperties>
</file>