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t xml:space="preserve">12 Oktober 2022</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t xml:space="preserve">1</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MANUAL STANDAR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PEMBIAYAAN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Supply Chain Management pada tahun 202</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Internasional untuk menghasilkan lulusan berkualitas yang siap bekerja dan dibutuhkan industri Nasional maupun Internasional yang berdaya saing global.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 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spacing w:after="0" w:line="276" w:lineRule="auto"/>
        <w:ind w:left="1134" w:hanging="425"/>
        <w:jc w:val="both"/>
        <w:rPr>
          <w:color w:val="000000"/>
        </w:rPr>
      </w:pPr>
      <w:r w:rsidDel="00000000" w:rsidR="00000000" w:rsidRPr="00000000">
        <w:rPr>
          <w:color w:val="000000"/>
          <w:rtl w:val="0"/>
        </w:rPr>
        <w:t xml:space="preserve">1.</w:t>
        <w:tab/>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color w:val="000000"/>
          <w:rtl w:val="0"/>
        </w:rPr>
        <w:t xml:space="preserve"> bidang Logistik, </w:t>
      </w:r>
      <w:r w:rsidDel="00000000" w:rsidR="00000000" w:rsidRPr="00000000">
        <w:rPr>
          <w:i w:val="1"/>
          <w:color w:val="000000"/>
          <w:rtl w:val="0"/>
        </w:rPr>
        <w:t xml:space="preserve">Supply Chain Management, E-Commerce</w:t>
      </w:r>
      <w:r w:rsidDel="00000000" w:rsidR="00000000" w:rsidRPr="00000000">
        <w:rPr>
          <w:color w:val="000000"/>
          <w:rtl w:val="0"/>
        </w:rPr>
        <w:t xml:space="preserve">, ekonomi, sosial, dan keilmuan lainya yang beriman, bertaqwa, profesional, berkompetensi tinggi dan berwawasan kebangsaan. </w:t>
      </w:r>
    </w:p>
    <w:p w:rsidR="00000000" w:rsidDel="00000000" w:rsidP="00000000" w:rsidRDefault="00000000" w:rsidRPr="00000000" w14:paraId="0000003F">
      <w:pPr>
        <w:spacing w:after="0" w:line="276" w:lineRule="auto"/>
        <w:ind w:left="1134" w:hanging="425"/>
        <w:jc w:val="both"/>
        <w:rPr>
          <w:color w:val="000000"/>
        </w:rPr>
      </w:pPr>
      <w:r w:rsidDel="00000000" w:rsidR="00000000" w:rsidRPr="00000000">
        <w:rPr>
          <w:color w:val="000000"/>
          <w:rtl w:val="0"/>
        </w:rPr>
        <w:t xml:space="preserve">2.</w:t>
        <w:tab/>
        <w:t xml:space="preserve">Mengembangkan dan menyebarluaskan ilmu pengetahuan bidang Logistik, </w:t>
      </w:r>
      <w:r w:rsidDel="00000000" w:rsidR="00000000" w:rsidRPr="00000000">
        <w:rPr>
          <w:i w:val="1"/>
          <w:color w:val="000000"/>
          <w:rtl w:val="0"/>
        </w:rPr>
        <w:t xml:space="preserve">Supply Chain Management, E-Commerce</w:t>
      </w:r>
      <w:r w:rsidDel="00000000" w:rsidR="00000000" w:rsidRPr="00000000">
        <w:rPr>
          <w:color w:val="000000"/>
          <w:rtl w:val="0"/>
        </w:rPr>
        <w:t xml:space="preserve">, ekonomi, sosial, dan keilmuan lainya.  </w:t>
      </w:r>
    </w:p>
    <w:p w:rsidR="00000000" w:rsidDel="00000000" w:rsidP="00000000" w:rsidRDefault="00000000" w:rsidRPr="00000000" w14:paraId="00000040">
      <w:pPr>
        <w:spacing w:after="0" w:line="276" w:lineRule="auto"/>
        <w:ind w:left="1134" w:hanging="425"/>
        <w:jc w:val="both"/>
        <w:rPr>
          <w:color w:val="000000"/>
        </w:rPr>
      </w:pPr>
      <w:r w:rsidDel="00000000" w:rsidR="00000000" w:rsidRPr="00000000">
        <w:rPr>
          <w:color w:val="000000"/>
          <w:rtl w:val="0"/>
        </w:rPr>
        <w:t xml:space="preserve">3.</w:t>
        <w:tab/>
        <w:t xml:space="preserve">Mendukung pengembangan kehidupan politik, ekonomi, sosial dan budaya bangsa dengan berperan sebagai kekuatan moral yang mandiri. </w:t>
      </w:r>
    </w:p>
    <w:p w:rsidR="00000000" w:rsidDel="00000000" w:rsidP="00000000" w:rsidRDefault="00000000" w:rsidRPr="00000000" w14:paraId="00000041">
      <w:pPr>
        <w:spacing w:after="0" w:line="276" w:lineRule="auto"/>
        <w:ind w:left="1134" w:hanging="425"/>
        <w:jc w:val="both"/>
        <w:rPr>
          <w:color w:val="000000"/>
        </w:rPr>
      </w:pPr>
      <w:r w:rsidDel="00000000" w:rsidR="00000000" w:rsidRPr="00000000">
        <w:rPr>
          <w:color w:val="000000"/>
          <w:rtl w:val="0"/>
        </w:rPr>
        <w:t xml:space="preserve">4.</w:t>
        <w:tab/>
        <w:t xml:space="preserve">Mendukung pembangunan masyarakat yang religius, demokratis, cinta damai, cinta ilmu, dan bermartabat. </w:t>
      </w:r>
    </w:p>
    <w:p w:rsidR="00000000" w:rsidDel="00000000" w:rsidP="00000000" w:rsidRDefault="00000000" w:rsidRPr="00000000" w14:paraId="00000042">
      <w:pPr>
        <w:spacing w:after="0" w:line="276" w:lineRule="auto"/>
        <w:ind w:left="1134" w:hanging="425"/>
        <w:jc w:val="both"/>
        <w:rPr>
          <w:color w:val="000000"/>
        </w:rPr>
      </w:pPr>
      <w:r w:rsidDel="00000000" w:rsidR="00000000" w:rsidRPr="00000000">
        <w:rPr>
          <w:color w:val="000000"/>
          <w:rtl w:val="0"/>
        </w:rPr>
        <w:t xml:space="preserve">5.</w:t>
        <w:tab/>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spacing w:after="0" w:line="276" w:lineRule="auto"/>
        <w:ind w:left="1134" w:hanging="425"/>
        <w:jc w:val="both"/>
        <w:rPr>
          <w:color w:val="000000"/>
        </w:rPr>
      </w:pPr>
      <w:r w:rsidDel="00000000" w:rsidR="00000000" w:rsidRPr="00000000">
        <w:rPr>
          <w:color w:val="000000"/>
          <w:rtl w:val="0"/>
        </w:rPr>
        <w:t xml:space="preserve">6.</w:t>
        <w:tab/>
        <w:t xml:space="preserve">Meningkatnya jumlah penelitian dan publikasi di bidang </w:t>
      </w:r>
      <w:r w:rsidDel="00000000" w:rsidR="00000000" w:rsidRPr="00000000">
        <w:rPr>
          <w:i w:val="1"/>
          <w:color w:val="000000"/>
          <w:rtl w:val="0"/>
        </w:rPr>
        <w:t xml:space="preserve">supply chain management</w:t>
      </w:r>
      <w:r w:rsidDel="00000000" w:rsidR="00000000" w:rsidRPr="00000000">
        <w:rPr>
          <w:color w:val="000000"/>
          <w:rtl w:val="0"/>
        </w:rPr>
        <w:t xml:space="preserve"> dan keilmuan lainnya yang relevan dengan kebutuhan pemerintah dan industri dari tahun ke tahun. </w:t>
      </w:r>
    </w:p>
    <w:p w:rsidR="00000000" w:rsidDel="00000000" w:rsidP="00000000" w:rsidRDefault="00000000" w:rsidRPr="00000000" w14:paraId="00000044">
      <w:pPr>
        <w:spacing w:after="0" w:line="276" w:lineRule="auto"/>
        <w:ind w:left="1134" w:hanging="425"/>
        <w:jc w:val="both"/>
        <w:rPr>
          <w:color w:val="000000"/>
        </w:rPr>
      </w:pPr>
      <w:r w:rsidDel="00000000" w:rsidR="00000000" w:rsidRPr="00000000">
        <w:rPr>
          <w:color w:val="000000"/>
          <w:rtl w:val="0"/>
        </w:rPr>
        <w:t xml:space="preserve">7.</w:t>
        <w:tab/>
        <w:t xml:space="preserve">Menghasilkan inovasi, hak paten /HKI yang relevan dan dibutuhkan industri di bidang </w:t>
      </w:r>
      <w:r w:rsidDel="00000000" w:rsidR="00000000" w:rsidRPr="00000000">
        <w:rPr>
          <w:i w:val="1"/>
          <w:color w:val="000000"/>
          <w:rtl w:val="0"/>
        </w:rPr>
        <w:t xml:space="preserve">supply chain management</w:t>
      </w:r>
      <w:r w:rsidDel="00000000" w:rsidR="00000000" w:rsidRPr="00000000">
        <w:rPr>
          <w:color w:val="000000"/>
          <w:rtl w:val="0"/>
        </w:rPr>
        <w:t xml:space="preserve"> dan keilmuan lainnya </w:t>
      </w:r>
    </w:p>
    <w:p w:rsidR="00000000" w:rsidDel="00000000" w:rsidP="00000000" w:rsidRDefault="00000000" w:rsidRPr="00000000" w14:paraId="00000045">
      <w:pPr>
        <w:spacing w:after="0" w:line="276" w:lineRule="auto"/>
        <w:ind w:left="1134" w:hanging="425"/>
        <w:jc w:val="both"/>
        <w:rPr>
          <w:color w:val="000000"/>
        </w:rPr>
      </w:pPr>
      <w:r w:rsidDel="00000000" w:rsidR="00000000" w:rsidRPr="00000000">
        <w:rPr>
          <w:color w:val="000000"/>
          <w:rtl w:val="0"/>
        </w:rPr>
        <w:t xml:space="preserve">8.</w:t>
        <w:tab/>
        <w:t xml:space="preserve">Meningkatnya kuantitas dan kualitas pengabdian kepada masyarakat setiap tahunnya. </w:t>
      </w:r>
    </w:p>
    <w:p w:rsidR="00000000" w:rsidDel="00000000" w:rsidP="00000000" w:rsidRDefault="00000000" w:rsidRPr="00000000" w14:paraId="00000046">
      <w:pPr>
        <w:spacing w:after="0" w:line="276" w:lineRule="auto"/>
        <w:ind w:left="1134" w:hanging="425"/>
        <w:jc w:val="both"/>
        <w:rPr>
          <w:color w:val="000000"/>
        </w:rPr>
      </w:pPr>
      <w:r w:rsidDel="00000000" w:rsidR="00000000" w:rsidRPr="00000000">
        <w:rPr>
          <w:color w:val="000000"/>
          <w:rtl w:val="0"/>
        </w:rPr>
        <w:t xml:space="preserve">9.</w:t>
        <w:tab/>
        <w:t xml:space="preserve">Menghasilkan lulusan berkualitas yang memiliki karakter dan keterampilan Abad 21 yang dibutuhkan industri. </w:t>
      </w:r>
    </w:p>
    <w:p w:rsidR="00000000" w:rsidDel="00000000" w:rsidP="00000000" w:rsidRDefault="00000000" w:rsidRPr="00000000" w14:paraId="00000047">
      <w:pPr>
        <w:spacing w:after="0" w:line="276" w:lineRule="auto"/>
        <w:ind w:left="1134" w:hanging="425"/>
        <w:jc w:val="both"/>
        <w:rPr>
          <w:color w:val="000000"/>
        </w:rPr>
      </w:pPr>
      <w:r w:rsidDel="00000000" w:rsidR="00000000" w:rsidRPr="00000000">
        <w:rPr>
          <w:color w:val="000000"/>
          <w:rtl w:val="0"/>
        </w:rPr>
        <w:t xml:space="preserve">10.</w:t>
        <w:tab/>
        <w:t xml:space="preserve">Meningkatnya </w:t>
      </w:r>
      <w:r w:rsidDel="00000000" w:rsidR="00000000" w:rsidRPr="00000000">
        <w:rPr>
          <w:i w:val="1"/>
          <w:color w:val="000000"/>
          <w:rtl w:val="0"/>
        </w:rPr>
        <w:t xml:space="preserve">non tuition fee</w:t>
      </w:r>
      <w:r w:rsidDel="00000000" w:rsidR="00000000" w:rsidRPr="00000000">
        <w:rPr>
          <w:color w:val="000000"/>
          <w:rtl w:val="0"/>
        </w:rPr>
        <w:t xml:space="preserve"> yang dihasilkan dari pengelolaan pengelolaan Direktorat Riset, Inovasi, Kemitraan, &amp; Kewirausahaan dan unit usaha.</w:t>
      </w:r>
    </w:p>
    <w:p w:rsidR="00000000" w:rsidDel="00000000" w:rsidP="00000000" w:rsidRDefault="00000000" w:rsidRPr="00000000" w14:paraId="00000048">
      <w:pPr>
        <w:spacing w:after="0" w:line="276" w:lineRule="auto"/>
        <w:ind w:left="1134" w:hanging="425"/>
        <w:jc w:val="both"/>
        <w:rPr>
          <w:color w:val="000000"/>
        </w:rPr>
      </w:pPr>
      <w:r w:rsidDel="00000000" w:rsidR="00000000" w:rsidRPr="00000000">
        <w:rPr>
          <w:color w:val="000000"/>
          <w:rtl w:val="0"/>
        </w:rPr>
        <w:t xml:space="preserve">11.</w:t>
        <w:tab/>
        <w:t xml:space="preserve">Meningkatnya kerja sama antar perguruan tinggi dalam dan luar negeri serta antara perguruan tinggi dengan IDUKA dan pemerintah. </w:t>
      </w:r>
    </w:p>
    <w:p w:rsidR="00000000" w:rsidDel="00000000" w:rsidP="00000000" w:rsidRDefault="00000000" w:rsidRPr="00000000" w14:paraId="00000049">
      <w:pPr>
        <w:spacing w:after="0" w:line="276" w:lineRule="auto"/>
        <w:ind w:left="1134" w:hanging="425"/>
        <w:jc w:val="both"/>
        <w:rPr>
          <w:color w:val="000000"/>
        </w:rPr>
      </w:pPr>
      <w:r w:rsidDel="00000000" w:rsidR="00000000" w:rsidRPr="00000000">
        <w:rPr>
          <w:color w:val="000000"/>
          <w:rtl w:val="0"/>
        </w:rPr>
        <w:t xml:space="preserve">12.</w:t>
        <w:tab/>
        <w:t xml:space="preserve">Meningkatnya </w:t>
      </w:r>
      <w:r w:rsidDel="00000000" w:rsidR="00000000" w:rsidRPr="00000000">
        <w:rPr>
          <w:i w:val="1"/>
          <w:color w:val="000000"/>
          <w:rtl w:val="0"/>
        </w:rPr>
        <w:t xml:space="preserve">entrepreneurship </w:t>
      </w:r>
      <w:r w:rsidDel="00000000" w:rsidR="00000000" w:rsidRPr="00000000">
        <w:rPr>
          <w:color w:val="000000"/>
          <w:rtl w:val="0"/>
        </w:rPr>
        <w:t xml:space="preserve">mahasiswa dan mengembangkan pusat-pusat inkubasi bisnis/</w:t>
      </w:r>
      <w:r w:rsidDel="00000000" w:rsidR="00000000" w:rsidRPr="00000000">
        <w:rPr>
          <w:i w:val="1"/>
          <w:rtl w:val="0"/>
        </w:rPr>
        <w:t xml:space="preserve">startup</w:t>
      </w:r>
      <w:r w:rsidDel="00000000" w:rsidR="00000000" w:rsidRPr="00000000">
        <w:rPr>
          <w:color w:val="000000"/>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PEMBIAYAAN PEMBELAJARAN</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Maksud dari pembuatan Manual Standar Pembiayaan Pembelajaran Universitas Logistik &amp; Bisnis Internasional (ULBI) adalah untuk dijadikan sebagai arahan dan panduan dalam pelaksanaan kegiatan penetapan, pelaksanaan, evaluasi, pengendalian, dan peningkatan Standar Pembiayaan Pembelajaran di lingkungan Universitas Logistik &amp; Bisnis Internasional (ULBI).</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Pembiayaan Pembelajaran ULBI  adalah untuk:</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Menjadi arah serta landasan dalam penetapan, pelaksanaan, evaluasi,  pengendalian, dan peningkatan Standar Pembiayaan Pembelajaran di seluruh program studi di lingkungan Universitas Logistik &amp; Bisnis Internasional (ULBI);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Menjadi sarana komunikasi bagi seluruh pemangku kepentingan kegiatan pembiayaan pembelajaran di lingkungan Universitas Logistik &amp; Bisnis Internasional (ULBI).</w:t>
      </w:r>
    </w:p>
    <w:p w:rsidR="00000000" w:rsidDel="00000000" w:rsidP="00000000" w:rsidRDefault="00000000" w:rsidRPr="00000000" w14:paraId="00000052">
      <w:pPr>
        <w:spacing w:after="0" w:line="276" w:lineRule="auto"/>
        <w:ind w:left="709"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53">
      <w:pPr>
        <w:spacing w:after="0" w:line="276" w:lineRule="auto"/>
        <w:ind w:left="709" w:firstLine="0"/>
        <w:jc w:val="both"/>
        <w:rPr>
          <w:color w:val="000000"/>
        </w:rPr>
      </w:pPr>
      <w:r w:rsidDel="00000000" w:rsidR="00000000" w:rsidRPr="00000000">
        <w:rPr>
          <w:color w:val="000000"/>
          <w:rtl w:val="0"/>
        </w:rPr>
        <w:t xml:space="preserve">Secara khusus tujuan Manual Standar Pembiayaan Pembelajaran ULBI  adalah sebagai berikut :</w:t>
      </w:r>
    </w:p>
    <w:p w:rsidR="00000000" w:rsidDel="00000000" w:rsidP="00000000" w:rsidRDefault="00000000" w:rsidRPr="00000000" w14:paraId="0000005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Penetapan Standar Pembiayaan Pembelajaran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memberikan panduan bagi pimpinan Universitas, Fakultas, Direktorat, Program Studi, kepala biro, kepala bagian, dan kepala Sub Bagian dalam penyusunan, perancangan, perumusan dan penetapan standar pembiayaan pembelajaran di lingkungan Universitas Logistik &amp; Bisnis Internasional (ULBI).</w:t>
      </w:r>
    </w:p>
    <w:p w:rsidR="00000000" w:rsidDel="00000000" w:rsidP="00000000" w:rsidRDefault="00000000" w:rsidRPr="00000000" w14:paraId="0000005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Pelaksanaan Standar Pembiayaan Pembelajaran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melaksanakan dan merealisasikan yang telah ditetapkan pada standar pembiayaan pembelajaran di lingkungan Universitas Logistik &amp; Bisnis Internasional (ULBI).</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Evaluasi Standar Pembiayaan Pembelajaran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mengevaluasi pelaksanaan standar pembiayaan pembelajaran di lingkungan Universitas Logistik &amp; Bisnis Internasional (ULBI), sehingga isi standar dapat terpenuhi/tercapai.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hanging="709"/>
        <w:jc w:val="both"/>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2.2.4</w:t>
        <w:tab/>
        <w:t xml:space="preserve">Tujuan Manual Pengendalian Standar Pembiayaan Pembelajaran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mengendalikan pelaksanaan standar pembiayaan pembelajaran di lingkungan Universitas Logistik &amp; Bisnis Internasional (ULBI), sehingga tujuan yang telah ditetapkan dapat dicapai secara optimal.</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hanging="709"/>
        <w:jc w:val="both"/>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2.2.5</w:t>
        <w:tab/>
        <w:t xml:space="preserve">Tujuan Manual Peningkatan Standar Pembiayaan Pembelajaran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Untuk mengembangkan secara berkelanjutan peningkatan standar pembiayaan pembelajaran yang telah ditetapkan, dilaksanakan, dievaluasi dan dikendalikan dengan baik di lingkungan Universitas Logistik &amp; Bisnis Internasional (ULBI).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PROSES PEMBELAJARAN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pembiayaan pembelajaran adalah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dokumen berisi  petunjuk teknis tentang cara,  langkah, atau prosedur PPEPP standar pembiayaan pembelajaran secara berkelanjutan oleh pihak yang  bertanggung jawab dalam implementasi SPMI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Universitas Logistik &amp; Bisnis Internasional (ULBI)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Manual standar pembiayaan pembelajaran mencakup PPEPP standar pembiayaan pembelajaran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berikut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Penetapan Standar Pembiayaan Pembelajaran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pembiayaan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Pelaksanaan Standar Pembiayaan Pembelajaran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pembiayaan pembelajaran harus dilaksanakan dalam menunjang kegiatan penyelenggaraan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pendidikan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oleh semua unit kerja pada semua level manajemen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Evaluasi Standar Pembiayaan Pembelajaran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dilakukan evaluasi standar pembiayaan pembelajaran secara berkelanjutan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mengetahui apakah pembiayaan pembelajaran dicapai sesuai dengan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 yang telah ditetapkan.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Pengendalian Standar Pembiayaan Pembelajaran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standar pembiayaan pembelajaran telah dilaksanakan dan dievaluasi pada tahap sebelumnya. Pengendalian adalah tindakan koreksi agar standar pembiayaan pembelajaran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Peningkatan Standar Pembiayaan Pembelajaran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pelaksanaan isi standar pembiayaan pembelajaran 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pembiayaan pembelajaran tersebut dikembangkan/ditingkatkan untuk pencapaian ke siklus berikutnya.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pembiayaan pembelajaran merupakan kriteria minimal tentang komponen besaran biaya investasi dan biaya operasional yang disusun dalam rangka pemenuhan capaian pembelajaran lulusan.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merupakan suatu dokumen komunikasi teknis yang bertujuan memberikan bantuan untuk penggunaan suatu </w:t>
      </w:r>
      <w:r w:rsidDel="00000000" w:rsidR="00000000" w:rsidRPr="00000000">
        <w:rPr>
          <w:rtl w:val="0"/>
        </w:rPr>
        <w:t xml:space="preserve">sistem</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Mutu merupakan sesuatu yang memenuhi atau melebihi ekspektasi</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merupakan suatu norma atau persyaratan yang biasanya berupa suatu dokumen formal yang menciptakan kriteria, metode, proses dan praktik rekayasa atau teknis yang seragam</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Pembiayaan merupakan segala sesuatu yang berhubungan dengan biaya pembelajaran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Pembelajaran merupakan proses, cara, perbuatan menjadikan orang atau makhluk hidup belajar</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Perencanaan merupakan suatu perbuatan merencanakan atau cara atau proses untuk menentukan tindakan-tindakan di masa depan yang sesuai melalui suatu tahapan pemilihan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Pelaksanaan merupakan suatu tindakan atau pelaksanaan dari sebuah rencana yang sudah disusun secara matang dan terperinci, implementasi biasanya dilakukan setelah perencanaan sudah dianggap siap</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Evaluasi merupakan proses pengukuran akan </w:t>
      </w:r>
      <w:r w:rsidDel="00000000" w:rsidR="00000000" w:rsidRPr="00000000">
        <w:rPr>
          <w:rtl w:val="0"/>
        </w:rPr>
        <w:t xml:space="preserve">efektivitas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strategi yang digunakan dalam upaya mencapai tujuan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Pengendalian merupakan proses penentuan, apa yang harus dicapai yaitu standar, apa yang sedang </w:t>
      </w:r>
      <w:r w:rsidDel="00000000" w:rsidR="00000000" w:rsidRPr="00000000">
        <w:rPr>
          <w:rtl w:val="0"/>
        </w:rPr>
        <w:t xml:space="preserve">dilakukan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yaitu pelaksanaan, menilai pelaksanaan dan apabila perlu melakukan perbaikan-perbaikan, sehingga pelaksanaan sesuai dengan rencana yaitu selaras dengan standar</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Peningkatan merupakan upaya untuk menambah derajat, tingkat dan kualitas maupun kuantitas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Fakultas dan/atau Program Studi merumuskan standar pembiayaan pembelajaran berdasarkan kebutuhan prodi, kebijakan bidang akademik serta kesepakatan keilmuan dan asosiasi profesi terkait kemudian diserahkan kepada KA.BAUK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KA. BAUK menyusun rencana kebijakan bidang keuangan terkait standar pembiayaan pembelajaran dan me review standar pembiayaan pembelajaran yang diterima dari Fakultas dan/atau Program Studi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Wakil Rektor 2 merencanakan proses perumusan kebijakan bidang keuangan terkait standar pembiayaan pembelajaran dengan  mempertimbangkan Statuta, Renstra, Visi dan Misi, serta peraturan perundang-undangan yang relevan, kemudian mereview ulang Bersama KA.BAUK atas pengajuan dari Fakultas dan/atau Program Studi, jika sudah sesuai dengan kebijakan dari Warek 2 maka dikirimkan ke Rektor untuk </w:t>
      </w:r>
      <w:r w:rsidDel="00000000" w:rsidR="00000000" w:rsidRPr="00000000">
        <w:rPr>
          <w:rtl w:val="0"/>
        </w:rPr>
        <w:t xml:space="preserve">ditetapkan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Rektor menetapkan standar pembiayaan pembelajaran, sesuai dengan rencana proses perumusan kebijakan bidang keuangan terkait proses pembelajaran.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Pelaksanaan Standar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Wakil Rektor 2 mensosialisasikan hasil penetapan Standar Pembiayaan Pembelajaran kepada pengelola Fakultas dan Program Studi.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Fakultas/Program Studi melaksanakan kegiatan pembelajaran sesuai dengan  penetapan Standar Pembiayaan Pembelajaran sebagai tolok ukur pencapaian standar pembiayaan pembelajaran.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KA.BAUK membuat dokumen tertulis Prosedur Pelaksanaan Standar Pembiayaan Pembelajaran untuk semua jenjang pendidikan, setelah melakukan persiapan evaluasi dan analisis standar pembiayaan pembelajaran setiap jenjang pendidikan, berdasarkan peraturan perundangan, kebijakan, serta kesepakatan asosiasi Fakultas/Program Studi, asosiasi profesi.</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Program Studi, melakukan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Pengukuran secara periodik setiap semester terhadap ketercapaian isi semua Standar Pembiayaan Pembelajaran;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pencatatan atau perekaman semua temuan berupa penyimpangan, kelalaian, kesalahan, atau sejenisnya dari pelaksanaan yang tidak sesuai dengan isi Standar Pembiayaan Pembelajaran;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pencatatan beberapa hasil berupa dokumen berisi catatan standar pembiayaan pembelajaran;dan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pemeriksaan dan mempelajari alasan atau penyebab terjadinya penyimpangan dari isi standar, atau bila isi standar pembiayaan pembelajaran gagal dicapai.</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Program Studi membuat laporan tertulis secara periodik tentang semua hasil pengukuran dan membuat laporkan hasil pengukuran ketercapaian isi Standar Pembiayaan Pembelajaran kepada Dekan.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Dekan Fakultas membuat laporan kepada Wakil Rektor 2 secara periodik</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Warek 2 melakukan pemeriksaan terhadap pencapaian standar dan atau penyimpangan yang terjadi terhadap pencapaian standar, serta mempelajari alasan atau penyebab terjadinya penyimpangan dari  isi, atau apabila isi Standar Pembiayaan Pembelajaran gagal dicapai.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Warek 2 mengambil tindakan korektif untuk direkomendasikan kepada Fakultas terhadap setiap penyimpangan/ kegagalan ketercapaian isi Standar Pembiayaan Pembelajaran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Fakultas melalui Wakil Dekan I Bidang Akademik: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mencatat atau merekam semua tindakan korektif yang akan diambil untuk dilaksanakan Program Studi;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memantau terus menerus efek dari tindakan korektif tersebut;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membuat laporan tertulis secara periodik tentang semua hal yang menyangkut pengendalian standar pembiayaan pembelajaran; dan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melaporkan hasil  dari pengendalian standar kepada Rektor melalui Wakil Rektor 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Wakil Rektor 2: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mempelajari laporan hasil pengendalian Standar  Pembiayaan Pembelajaran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menyelenggarakan rapat untuk membicarakan hasil laporan dengan mengundang KA.BAUK, Dekan, dan Ketua Program Studi; dan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melakukan revisi isi Standar Pembiayaan Pembelajaran sehingga menjadi Standar Pembiayaan Pembelajaran baru yang memenuhi atau sesuai dengan kebutuhan pembelajaran akademik.</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KA.BAUK mengevaluasi isi Standar Pembiayaan Pembelajaran.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283.999999999999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Fakultas/Program Studi menyelenggarakan rapat untuk  mendiskusikan hasil laporan dengan mengundang semua Ka. Program Studi.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 PEMBIAYAAN PEMBELAJARAN</w:t>
      </w:r>
    </w:p>
    <w:tbl>
      <w:tblPr>
        <w:tblStyle w:val="Table2"/>
        <w:tblW w:w="847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212"/>
        <w:gridCol w:w="1362"/>
        <w:gridCol w:w="1014"/>
        <w:gridCol w:w="1457"/>
        <w:gridCol w:w="1356"/>
        <w:tblGridChange w:id="0">
          <w:tblGrid>
            <w:gridCol w:w="2070"/>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Rektor</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Wakil Rektor 2</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KA.BAUK</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Dekan Fakultas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 Prodi</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Laporan Keuangan Penerimaan dan Pembiayaan</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RRKA</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Proker</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Dokumen-Dokumen Pengajuan Panjar Program Studi</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Keuangan yang dapat merekam proses pembiayaan pembelajaran dan mengelola data untuk pemantauan dan evaluasi secara periodic agar terjadi peningkatan mutu pembelajaran yang berkelanjutan</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Pengembangan Aplikasi DIAS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 ULBI</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uG4+9YUDsDhgi9HEz/ll56TK1Q==">AMUW2mVzSCjNErDePIZeQJC5iNayy+cYE4X6RYvBCXhHaUechGyTP4pR3ttyRs4ciW7Vo5qQcf05R+y3quaqEuN+S9xZVAevCvyjsUIVdgg6P4X83ryMf2Q93xvYpnYvG3D7aBXd3rHNbqL+YZJ/ZzN2VDWImVtYQhP8Hw5a1xs9+Ju1uMMgs6Q=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2022-11-03T05:13:00Z</dcterms:created>
  <dc:creator>Anggi WIdiya Purnama</dc:creator>
</cp:coreProperties>
</file>