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5"/>
        <w:gridCol w:w="4834"/>
        <w:gridCol w:w="2901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723989" cy="762253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3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POLITEKNIK POS INDONESIA</w:t>
            </w:r>
          </w:p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Kode/No: 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22 Februari 2018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FORMULIR</w:t>
            </w:r>
          </w:p>
          <w:p>
            <w:pPr>
              <w:pStyle w:val="Header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(SPMI)</w:t>
            </w:r>
          </w:p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Revisi: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Halaman: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 dari 16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FORMULIR</w:t>
      </w:r>
    </w:p>
    <w:p>
      <w:pPr>
        <w:pStyle w:val="Normal.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SATUAN ACARA PERKULIAHAN</w:t>
      </w:r>
    </w:p>
    <w:p>
      <w:pPr>
        <w:pStyle w:val="Normal.0"/>
        <w:jc w:val="center"/>
        <w:rPr>
          <w:rFonts w:ascii="Calibri" w:cs="Calibri" w:hAnsi="Calibri" w:eastAsia="Calibri"/>
          <w:i w:val="1"/>
          <w:iCs w:val="1"/>
        </w:rPr>
      </w:pPr>
      <w:r>
        <w:rPr>
          <w:rFonts w:ascii="Arial" w:hAnsi="Arial"/>
          <w:i w:val="1"/>
          <w:iCs w:val="1"/>
          <w:sz w:val="32"/>
          <w:szCs w:val="32"/>
          <w:rtl w:val="0"/>
          <w:lang w:val="en-US"/>
        </w:rPr>
        <w:t>BRAND MANAGEMENT</w:t>
      </w:r>
    </w:p>
    <w:p>
      <w:pPr>
        <w:pStyle w:val="Normal.0"/>
      </w:pPr>
    </w:p>
    <w:p>
      <w:pPr>
        <w:pStyle w:val="Normal.0"/>
      </w:pPr>
    </w:p>
    <w:tbl>
      <w:tblPr>
        <w:tblW w:w="8221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Fonts w:ascii="Calibri Light" w:cs="Calibri Light" w:hAnsi="Calibri Light" w:eastAsia="Calibri Ligh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Kode : </w:t>
            </w:r>
          </w:p>
          <w:p>
            <w:pPr>
              <w:pStyle w:val="Normal.0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STANDAR PROSES PEMBELAJARAN</w:t>
            </w:r>
          </w:p>
        </w:tc>
      </w:tr>
    </w:tbl>
    <w:p>
      <w:pPr>
        <w:pStyle w:val="Normal.0"/>
        <w:widowControl w:val="0"/>
        <w:spacing w:line="240" w:lineRule="auto"/>
        <w:ind w:left="642" w:hanging="642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5"/>
        <w:gridCol w:w="3493"/>
        <w:gridCol w:w="1258"/>
        <w:gridCol w:w="1676"/>
        <w:gridCol w:w="1117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Proses</w:t>
            </w:r>
          </w:p>
        </w:tc>
        <w:tc>
          <w:tcPr>
            <w:tcW w:type="dxa" w:w="642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Penanggung Jawab</w:t>
            </w:r>
          </w:p>
        </w:tc>
        <w:tc>
          <w:tcPr>
            <w:tcW w:type="dxa" w:w="11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Nama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Jabatan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Tanda Tangan</w:t>
            </w:r>
          </w:p>
        </w:tc>
        <w:tc>
          <w:tcPr>
            <w:tcW w:type="dxa" w:w="11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Perumusan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Angga Dewi Anggraeni, SE., MM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Pemeriksaan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Maniah, ST., MM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Persetujuan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Dodi Permadi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Wadir 1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lang w:val="pt-PT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Penetapan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Dr. Ir. Agus Purnomo., MT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Direktur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  <w:lang w:val="it-IT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Pengendalian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Sri Suharti., SE., MM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SPMI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