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  <w:r w:rsidR="00AD49AE" w:rsidRPr="008F507E">
              <w:rPr>
                <w:i/>
                <w:color w:val="FF0000"/>
                <w:lang w:val="en-US"/>
              </w:rPr>
              <w:t>1 Juni</w:t>
            </w:r>
            <w:r w:rsidRPr="008F507E">
              <w:rPr>
                <w:i/>
                <w:color w:val="FF0000"/>
              </w:rPr>
              <w:t>2011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Kode:……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Made Irma Dwiputranti., SE,MM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21"/>
        <w:gridCol w:w="6621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626977" w:rsidRPr="00C3569F">
              <w:rPr>
                <w:rFonts w:ascii="Arial" w:eastAsia="Calibri" w:hAnsi="Arial" w:cs="Arial"/>
              </w:rPr>
              <w:t>Dangerous Good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C3569F" w:rsidRDefault="007E0667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Dodi Permadi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C3569F">
              <w:rPr>
                <w:rFonts w:ascii="Arial" w:eastAsia="Calibri" w:hAnsi="Arial" w:cs="Arial"/>
              </w:rPr>
              <w:t xml:space="preserve"> 2</w:t>
            </w:r>
          </w:p>
          <w:p w:rsidR="003E5285" w:rsidRPr="00C3569F" w:rsidRDefault="003E5285" w:rsidP="00626977">
            <w:pPr>
              <w:spacing w:before="60" w:after="60"/>
              <w:rPr>
                <w:rFonts w:ascii="Arial" w:eastAsia="Calibri" w:hAnsi="Arial" w:cs="Arial"/>
              </w:rPr>
            </w:pP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C3569F">
              <w:rPr>
                <w:rFonts w:ascii="Arial" w:eastAsia="Calibri" w:hAnsi="Arial" w:cs="Arial"/>
              </w:rPr>
              <w:t>100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R 111</w:t>
            </w:r>
          </w:p>
        </w:tc>
      </w:tr>
    </w:tbl>
    <w:p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Manfaat Mata Kuliah</w:t>
      </w:r>
    </w:p>
    <w:p w:rsidR="005F242A" w:rsidRPr="00C3569F" w:rsidRDefault="005F242A" w:rsidP="00480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bCs/>
          <w:lang w:val="en-US"/>
        </w:rPr>
        <w:t xml:space="preserve">Memahami tatacara penanganan </w:t>
      </w:r>
      <w:r w:rsidRPr="00C3569F">
        <w:rPr>
          <w:rFonts w:ascii="Arial" w:hAnsi="Arial" w:cs="Arial"/>
          <w:bCs/>
        </w:rPr>
        <w:t>Barang-barang berbahaya, penanganannnya, pemuatan, cara pengemasan, klasifikasi dan otoritas barang.</w:t>
      </w:r>
    </w:p>
    <w:p w:rsidR="005F242A" w:rsidRPr="00C3569F" w:rsidRDefault="005F242A" w:rsidP="00480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bCs/>
        </w:rPr>
        <w:t>Memahami aturan internasional mengenai penanganan Dangerous Good.</w:t>
      </w:r>
    </w:p>
    <w:p w:rsidR="0056124D" w:rsidRPr="00C3569F" w:rsidRDefault="00A105EE" w:rsidP="0056124D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</w:rPr>
        <w:t>.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DeskripsiPerkuliahan</w:t>
      </w:r>
    </w:p>
    <w:p w:rsidR="00C60C77" w:rsidRPr="00C3569F" w:rsidRDefault="0051092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  <w:r w:rsidRPr="00C3569F">
        <w:rPr>
          <w:rFonts w:ascii="Arial" w:hAnsi="Arial" w:cs="Arial"/>
          <w:lang w:val="en-ID"/>
        </w:rPr>
        <w:t xml:space="preserve">Matakuliah ini memberikan suatu wawasan kepada mahasiswa tentang bagaimana mengidentifikasi, </w:t>
      </w:r>
      <w:r w:rsidRPr="00C3569F">
        <w:rPr>
          <w:rFonts w:ascii="Arial" w:hAnsi="Arial" w:cs="Arial"/>
        </w:rPr>
        <w:t xml:space="preserve">Menjelaskan, dan </w:t>
      </w:r>
      <w:r w:rsidRPr="00C3569F">
        <w:rPr>
          <w:rFonts w:ascii="Arial" w:hAnsi="Arial" w:cs="Arial"/>
          <w:lang w:val="en-ID"/>
        </w:rPr>
        <w:t>menganalisis</w:t>
      </w:r>
      <w:r w:rsidR="005F242A" w:rsidRPr="00C3569F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</w:rPr>
        <w:t>secara sederhana</w:t>
      </w:r>
      <w:r w:rsidRPr="00C3569F">
        <w:rPr>
          <w:rFonts w:ascii="Arial" w:hAnsi="Arial" w:cs="Arial"/>
          <w:lang w:val="en-ID"/>
        </w:rPr>
        <w:t xml:space="preserve"> </w:t>
      </w:r>
      <w:r w:rsidR="005F242A" w:rsidRPr="00C3569F">
        <w:rPr>
          <w:rFonts w:ascii="Arial" w:hAnsi="Arial" w:cs="Arial"/>
        </w:rPr>
        <w:t>bahan/barang berbahaya (Dangerous Good), pengertian dasar, kelompok barang berbahaya dan beracun, penanganan untuk penyimpanan, handling, transportasi, serta dokumentasi yang dibutuhkan dalam kegiatan industri khususnya logistik.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</w:t>
      </w:r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>Mata Kuliah  (Kompetensi Umum dan Kompetensi Khusus)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>Kompetensi Umum</w:t>
      </w:r>
    </w:p>
    <w:p w:rsidR="00A105EE" w:rsidRPr="00C3569F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</w:t>
      </w:r>
      <w:r w:rsidR="00A36B62" w:rsidRPr="00C3569F">
        <w:rPr>
          <w:rFonts w:ascii="Arial" w:hAnsi="Arial" w:cs="Arial"/>
        </w:rPr>
        <w:t>mengerti, memahami, dan menerapkan</w:t>
      </w:r>
      <w:r w:rsidRPr="00C3569F">
        <w:rPr>
          <w:rFonts w:ascii="Arial" w:hAnsi="Arial" w:cs="Arial"/>
        </w:rPr>
        <w:t xml:space="preserve"> kegiatan operasional pada </w:t>
      </w:r>
      <w:r w:rsidR="005F242A" w:rsidRPr="00C3569F">
        <w:rPr>
          <w:rFonts w:ascii="Arial" w:hAnsi="Arial" w:cs="Arial"/>
        </w:rPr>
        <w:t>penanganan</w:t>
      </w:r>
      <w:r w:rsidR="00A36B62" w:rsidRPr="00C3569F">
        <w:rPr>
          <w:rFonts w:ascii="Arial" w:hAnsi="Arial" w:cs="Arial"/>
        </w:rPr>
        <w:t xml:space="preserve"> (handling), penyimpanan, dan pengiriman</w:t>
      </w:r>
      <w:r w:rsidR="005F242A" w:rsidRPr="00C3569F">
        <w:rPr>
          <w:rFonts w:ascii="Arial" w:hAnsi="Arial" w:cs="Arial"/>
        </w:rPr>
        <w:t xml:space="preserve"> barang/bahan berbahaya (Dangerous Good)</w:t>
      </w:r>
      <w:r w:rsidR="00A36B62" w:rsidRPr="00C3569F">
        <w:rPr>
          <w:rFonts w:ascii="Arial" w:hAnsi="Arial" w:cs="Arial"/>
        </w:rPr>
        <w:t>.</w:t>
      </w:r>
    </w:p>
    <w:p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sv-SE"/>
        </w:rPr>
        <w:t xml:space="preserve">Kompetensi </w:t>
      </w:r>
      <w:r w:rsidRPr="00C3569F">
        <w:rPr>
          <w:rFonts w:ascii="Arial" w:hAnsi="Arial" w:cs="Arial"/>
        </w:rPr>
        <w:t>Khusus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memahami Pengertian Dangerous Good/Bahan Berbahaya, Kadar Barang berbahahaya, cara mengenali </w:t>
      </w:r>
      <w:r w:rsidRPr="00C3569F">
        <w:rPr>
          <w:rFonts w:ascii="Arial" w:hAnsi="Arial" w:cs="Arial"/>
          <w:lang w:val="en-US"/>
        </w:rPr>
        <w:t>bahaya dan cara yang aman untuk menangani bahan kimia</w:t>
      </w:r>
      <w:r w:rsidRPr="00C3569F">
        <w:rPr>
          <w:rFonts w:ascii="Arial" w:hAnsi="Arial" w:cs="Arial"/>
        </w:rPr>
        <w:t>.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t>Mahasiswa mampu memahasi lebih dalam pengetahuan mengenai</w:t>
      </w:r>
      <w:r w:rsidRPr="00C3569F">
        <w:rPr>
          <w:rFonts w:ascii="Arial" w:hAnsi="Arial" w:cs="Arial"/>
          <w:bCs/>
          <w:lang w:val="en-US"/>
        </w:rPr>
        <w:t xml:space="preserve"> Hazmat</w:t>
      </w:r>
      <w:r w:rsidRPr="00C3569F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  <w:bCs/>
          <w:lang w:val="en-US"/>
        </w:rPr>
        <w:t>(Hazcom)</w:t>
      </w:r>
      <w:r w:rsidRPr="00C3569F">
        <w:rPr>
          <w:rFonts w:ascii="Arial" w:hAnsi="Arial" w:cs="Arial"/>
          <w:bCs/>
        </w:rPr>
        <w:t xml:space="preserve">, </w:t>
      </w:r>
      <w:r w:rsidRPr="00C3569F">
        <w:rPr>
          <w:rFonts w:ascii="Arial" w:hAnsi="Arial" w:cs="Arial"/>
          <w:lang w:val="de-DE"/>
        </w:rPr>
        <w:t>Istilah-istilah penting</w:t>
      </w:r>
      <w:r w:rsidRPr="00C3569F">
        <w:rPr>
          <w:rFonts w:ascii="Arial" w:hAnsi="Arial" w:cs="Arial"/>
        </w:rPr>
        <w:t xml:space="preserve">, </w:t>
      </w:r>
      <w:r w:rsidRPr="00C3569F">
        <w:rPr>
          <w:rFonts w:ascii="Arial" w:hAnsi="Arial" w:cs="Arial"/>
          <w:lang w:val="de-DE"/>
        </w:rPr>
        <w:t>Bahaya Fisik dan pemaparan kelas-kelas Bahan Berbahaya</w:t>
      </w:r>
      <w:r w:rsidRPr="00C3569F">
        <w:rPr>
          <w:rFonts w:ascii="Arial" w:hAnsi="Arial" w:cs="Arial"/>
        </w:rPr>
        <w:t xml:space="preserve">, </w:t>
      </w:r>
      <w:r w:rsidRPr="00C3569F">
        <w:rPr>
          <w:rFonts w:ascii="Arial" w:hAnsi="Arial" w:cs="Arial"/>
          <w:lang w:val="de-DE"/>
        </w:rPr>
        <w:t>Bahaya Kesehatan dan pemaparan kelas-kelas Bahan Beracun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t xml:space="preserve">Mahasiswa mampu memahami </w:t>
      </w:r>
      <w:r w:rsidRPr="00C3569F">
        <w:rPr>
          <w:rFonts w:ascii="Arial" w:hAnsi="Arial" w:cs="Arial"/>
          <w:bCs/>
          <w:lang w:val="de-DE"/>
        </w:rPr>
        <w:t>pengertian  dan  penggunaan</w:t>
      </w:r>
      <w:r w:rsidRPr="00C3569F">
        <w:rPr>
          <w:rFonts w:ascii="Arial" w:hAnsi="Arial" w:cs="Arial"/>
          <w:bCs/>
        </w:rPr>
        <w:t xml:space="preserve"> </w:t>
      </w:r>
      <w:r w:rsidRPr="00C3569F">
        <w:rPr>
          <w:rFonts w:ascii="Arial" w:hAnsi="Arial" w:cs="Arial"/>
          <w:bCs/>
          <w:lang w:val="de-DE"/>
        </w:rPr>
        <w:t>alat-alat  pelindung diri dalam transport barang berbahaya</w:t>
      </w:r>
      <w:r w:rsidRPr="00C3569F">
        <w:rPr>
          <w:rFonts w:ascii="Arial" w:hAnsi="Arial" w:cs="Arial"/>
          <w:bCs/>
        </w:rPr>
        <w:t>.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mampu mengerti dan memahami penanganan document barang berbahaya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lastRenderedPageBreak/>
        <w:t xml:space="preserve">Mahasiswa mampu mengerti dan memahami </w:t>
      </w:r>
      <w:r w:rsidRPr="00C3569F">
        <w:rPr>
          <w:rFonts w:ascii="Arial" w:hAnsi="Arial" w:cs="Arial"/>
          <w:bCs/>
          <w:lang w:val="de-DE"/>
        </w:rPr>
        <w:t>Kebijakan Pemerintah dalam Keselamatan Transportasi Bahan Berbahaya dan Beracun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  <w:bCs/>
        </w:rPr>
        <w:t xml:space="preserve">Mahasiswa mampu mengerti dan memahami proses dan penanganan </w:t>
      </w:r>
      <w:r w:rsidRPr="00C3569F">
        <w:rPr>
          <w:rFonts w:ascii="Arial" w:hAnsi="Arial" w:cs="Arial"/>
          <w:bCs/>
          <w:lang w:val="en-US"/>
        </w:rPr>
        <w:t xml:space="preserve">Loading/Unloading </w:t>
      </w:r>
      <w:r w:rsidRPr="00C3569F">
        <w:rPr>
          <w:rFonts w:ascii="Arial" w:hAnsi="Arial" w:cs="Arial"/>
          <w:bCs/>
        </w:rPr>
        <w:t>Dangerous Good (Best Practice).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>Mahasiswa mampu memahami penanganan Transportasi Barang Berbahaya, dan keselamatan di jalan raya.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memahami penanganan </w:t>
      </w:r>
      <w:r w:rsidRPr="00C3569F">
        <w:rPr>
          <w:rFonts w:ascii="Arial" w:hAnsi="Arial" w:cs="Arial"/>
          <w:bCs/>
          <w:lang w:val="de-DE"/>
        </w:rPr>
        <w:t>Limbah Bahan,</w:t>
      </w:r>
      <w:r w:rsidRPr="00C3569F">
        <w:rPr>
          <w:rFonts w:ascii="Arial" w:hAnsi="Arial" w:cs="Arial"/>
          <w:bCs/>
        </w:rPr>
        <w:t xml:space="preserve"> </w:t>
      </w:r>
      <w:r w:rsidRPr="00C3569F">
        <w:rPr>
          <w:rFonts w:ascii="Arial" w:hAnsi="Arial" w:cs="Arial"/>
          <w:bCs/>
          <w:lang w:val="de-DE"/>
        </w:rPr>
        <w:t>Berbahaya dan Beracun</w:t>
      </w:r>
      <w:r w:rsidRPr="00C3569F">
        <w:rPr>
          <w:rFonts w:ascii="Arial" w:hAnsi="Arial" w:cs="Arial"/>
          <w:bCs/>
        </w:rPr>
        <w:t xml:space="preserve"> 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mengerti dan memahami </w:t>
      </w:r>
      <w:r w:rsidRPr="00C3569F">
        <w:rPr>
          <w:rFonts w:ascii="Arial" w:hAnsi="Arial" w:cs="Arial"/>
          <w:i/>
          <w:lang w:val="de-DE"/>
        </w:rPr>
        <w:t>Storage Handling</w:t>
      </w:r>
      <w:r w:rsidRPr="00C3569F">
        <w:rPr>
          <w:rFonts w:ascii="Arial" w:hAnsi="Arial" w:cs="Arial"/>
        </w:rPr>
        <w:t xml:space="preserve"> barang-barang berbahaya</w:t>
      </w:r>
    </w:p>
    <w:p w:rsidR="005F242A" w:rsidRPr="00C3569F" w:rsidRDefault="005F242A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mengerti dan memahami dalam penanganan </w:t>
      </w:r>
      <w:r w:rsidRPr="00C3569F">
        <w:rPr>
          <w:rFonts w:ascii="Arial" w:hAnsi="Arial" w:cs="Arial"/>
          <w:lang w:val="de-DE"/>
        </w:rPr>
        <w:t>Risk Management</w:t>
      </w:r>
      <w:r w:rsidRPr="00C3569F">
        <w:rPr>
          <w:rFonts w:ascii="Arial" w:hAnsi="Arial" w:cs="Arial"/>
        </w:rPr>
        <w:t xml:space="preserve"> bahan berbahaya.</w:t>
      </w:r>
    </w:p>
    <w:p w:rsidR="005F242A" w:rsidRPr="00C3569F" w:rsidRDefault="005F242A" w:rsidP="005F242A">
      <w:pPr>
        <w:pStyle w:val="ListParagraph"/>
        <w:ind w:left="1080"/>
        <w:rPr>
          <w:rFonts w:ascii="Arial" w:hAnsi="Arial" w:cs="Arial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OrganisasiMateri</w:t>
      </w:r>
    </w:p>
    <w:p w:rsidR="00A36B62" w:rsidRPr="00C3569F" w:rsidRDefault="00A36B62" w:rsidP="00A36B62">
      <w:p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</w:rPr>
        <w:object w:dxaOrig="9069" w:dyaOrig="1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8pt;height:697.65pt" o:ole="">
            <v:imagedata r:id="rId9" o:title=""/>
          </v:shape>
          <o:OLEObject Type="Embed" ProgID="Visio.Drawing.11" ShapeID="_x0000_i1025" DrawAspect="Content" ObjectID="_1511632474" r:id="rId10"/>
        </w:object>
      </w:r>
    </w:p>
    <w:p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Diskusi Kelompok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Simulasi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/>
        <w:rPr>
          <w:rFonts w:ascii="Arial" w:hAnsi="Arial" w:cs="Arial"/>
        </w:rPr>
      </w:pPr>
      <w:r w:rsidRPr="00C3569F">
        <w:rPr>
          <w:rFonts w:ascii="Arial" w:hAnsi="Arial" w:cs="Arial"/>
          <w:lang w:val="de-DE"/>
        </w:rPr>
        <w:t>Hazard Warning Signs , http://www.du.edu/risk/LabSafety.html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/>
        <w:rPr>
          <w:rFonts w:ascii="Arial" w:hAnsi="Arial" w:cs="Arial"/>
        </w:rPr>
      </w:pPr>
      <w:r w:rsidRPr="00C3569F">
        <w:rPr>
          <w:rFonts w:ascii="Arial" w:hAnsi="Arial" w:cs="Arial"/>
          <w:lang w:val="de-DE"/>
        </w:rPr>
        <w:t>Safety Training PT BASF Indonesia</w:t>
      </w:r>
    </w:p>
    <w:p w:rsidR="007625ED" w:rsidRPr="00C3569F" w:rsidRDefault="00FE1C5D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lang w:val="de-DE"/>
        </w:rPr>
        <w:t>Safety Training Rhuekamp Indonesia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bCs/>
          <w:lang w:val="de-DE"/>
        </w:rPr>
        <w:t xml:space="preserve">UN Committee of Experts on the Transport of Dangerous Goods (TDG) issues Model Regulations on the Transportation of Dangerous Goods  and the Globally Harmonized System of Classification and Labelling (GHS) 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bCs/>
          <w:lang w:val="de-DE"/>
        </w:rPr>
        <w:t>ADR (</w:t>
      </w:r>
      <w:r w:rsidRPr="00C3569F">
        <w:rPr>
          <w:rFonts w:ascii="Arial" w:hAnsi="Arial" w:cs="Arial"/>
          <w:bCs/>
          <w:i/>
          <w:iCs/>
          <w:lang w:val="de-DE"/>
        </w:rPr>
        <w:t>Accord européen relatif au transport international des marchandises dangereuses par route</w:t>
      </w:r>
      <w:r w:rsidRPr="00C3569F">
        <w:rPr>
          <w:rFonts w:ascii="Arial" w:hAnsi="Arial" w:cs="Arial"/>
          <w:bCs/>
          <w:lang w:val="de-DE"/>
        </w:rPr>
        <w:t xml:space="preserve">) </w:t>
      </w:r>
    </w:p>
    <w:p w:rsidR="00BA01BA" w:rsidRPr="00C3569F" w:rsidRDefault="00304122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bCs/>
          <w:lang w:val="de-DE"/>
        </w:rPr>
        <w:t xml:space="preserve">ICAO </w:t>
      </w:r>
      <w:r w:rsidRPr="00C3569F">
        <w:rPr>
          <w:rFonts w:ascii="Arial" w:hAnsi="Arial" w:cs="Arial"/>
          <w:lang w:val="de-DE"/>
        </w:rPr>
        <w:t>(Air Transport)</w:t>
      </w:r>
    </w:p>
    <w:p w:rsidR="00FE1C5D" w:rsidRPr="00C3569F" w:rsidRDefault="00FE1C5D" w:rsidP="00480876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  <w:bCs/>
          <w:lang w:val="de-DE"/>
        </w:rPr>
        <w:t xml:space="preserve">IMDG </w:t>
      </w:r>
      <w:r w:rsidRPr="00C3569F">
        <w:rPr>
          <w:rFonts w:ascii="Arial" w:hAnsi="Arial" w:cs="Arial"/>
          <w:lang w:val="de-DE"/>
        </w:rPr>
        <w:t>(Sea Transport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Kelompok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Tugas Besar, diberikan secara bertahap setelah setiap pertemuan, pengumpulan tugas seminggu sebelum UAS.</w:t>
            </w:r>
          </w:p>
          <w:p w:rsidR="007D78A4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Jumlah Kelompok Maksimum 3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Nilai pada suatu mata kuliah dapat berupa gabungan dari komponen-komponen sebagai 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>1)</w:t>
      </w:r>
      <w:r w:rsidRPr="00C3569F">
        <w:rPr>
          <w:sz w:val="22"/>
          <w:szCs w:val="22"/>
        </w:rPr>
        <w:tab/>
        <w:t>Untuk mata kuliah teori terdiri dari ujian formatif (tes terstruktur, ujian tengah semester, dan ujian akhir semester) dan tugas-tugas lainnya ;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>Untuk mata kuliah praktek terdiri dari tugas-tugas praktikum laboratorium/ ketrampilan praktek, laporan praktek, dan tes/ujian tertulis jika diperlukan.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Untuk mata kuliah yang terdiri dari teori dan praktek; tes formatif, tugas-tugas praktikum lab/bengkel, keterampilan praktek, laporan praktek, dan  tes/ujian tertulis jika diperlukan.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>c.    Persentase penilaian untuk mata kuliah teori adalah sebagai berikut: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 tengah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 akhir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r w:rsidRPr="00C3569F">
        <w:rPr>
          <w:sz w:val="22"/>
          <w:szCs w:val="22"/>
        </w:rPr>
        <w:t xml:space="preserve">Tugas terstruktur dan mandiri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r w:rsidRPr="00C3569F">
        <w:rPr>
          <w:sz w:val="22"/>
          <w:szCs w:val="22"/>
        </w:rPr>
        <w:t>Persentase penilaian untuk mata kuliah praktek adalah sebagai 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 tengah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 akhir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 xml:space="preserve">3)  Tugas terstruktur dan mandiri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Bagi suatu mata kuliah yang mempunyai kandungan teori dan praktek maka bobot penilaian Praktek 60 dan Teori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Nilai suatu mata kuliah dinyatakan dengan huruf mutu A, B, C, D dan E dengan sebutan mutu dan angka mutu sebagai berikut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r w:rsidRPr="00C3569F">
        <w:rPr>
          <w:sz w:val="22"/>
          <w:szCs w:val="22"/>
        </w:rPr>
        <w:t>Konversi nilai dari skala skor 0 – 100 ke skala huruf A, B, C, D, dan E, dilakukan  dengan kriteria klasifikasi angka sbb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dikonversi dengan huruf mutu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dikonversi dengan huruf mutu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dikonversi dengan huruf mutu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dikonversi dengan huruf mutu D</w:t>
      </w:r>
      <w:r w:rsidRPr="00C3569F">
        <w:rPr>
          <w:sz w:val="22"/>
          <w:szCs w:val="22"/>
          <w:lang w:val="id-ID"/>
        </w:rPr>
        <w:t xml:space="preserve"> </w:t>
      </w:r>
    </w:p>
    <w:p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/>
      </w:tblPr>
      <w:tblGrid>
        <w:gridCol w:w="1149"/>
        <w:gridCol w:w="3544"/>
        <w:gridCol w:w="4820"/>
      </w:tblGrid>
      <w:tr w:rsidR="00D16BB3" w:rsidRPr="00C3569F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Bahan Berbahaya, Baha Kimia dan penangananya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00000" w:rsidRPr="000F3327" w:rsidRDefault="00480876" w:rsidP="00480876">
            <w:pPr>
              <w:pStyle w:val="ListParagraph"/>
              <w:numPr>
                <w:ilvl w:val="0"/>
                <w:numId w:val="10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Hazard Warning Signs , http://www.du.edu/risk/LabSafety.html</w:t>
            </w:r>
          </w:p>
          <w:p w:rsidR="00000000" w:rsidRPr="000F3327" w:rsidRDefault="00480876" w:rsidP="00480876">
            <w:pPr>
              <w:pStyle w:val="ListParagraph"/>
              <w:numPr>
                <w:ilvl w:val="0"/>
                <w:numId w:val="10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Internal Training PT OTSUKA Indonesia</w:t>
            </w:r>
          </w:p>
          <w:p w:rsidR="00000000" w:rsidRPr="000F3327" w:rsidRDefault="00480876" w:rsidP="00480876">
            <w:pPr>
              <w:pStyle w:val="ListParagraph"/>
              <w:numPr>
                <w:ilvl w:val="0"/>
                <w:numId w:val="10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Safety Training PT BASF</w:t>
            </w:r>
            <w:r w:rsidRPr="000F3327">
              <w:rPr>
                <w:rFonts w:ascii="Arial" w:hAnsi="Arial" w:cs="Arial"/>
                <w:lang w:val="de-DE"/>
              </w:rPr>
              <w:t xml:space="preserve"> Indonesia</w:t>
            </w:r>
          </w:p>
          <w:p w:rsidR="00C3569F" w:rsidRPr="00C3569F" w:rsidRDefault="000F3327" w:rsidP="00480876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lastRenderedPageBreak/>
              <w:t>Safety Training Rhuekamp Indonesia</w:t>
            </w:r>
          </w:p>
        </w:tc>
      </w:tr>
      <w:tr w:rsidR="00D16BB3" w:rsidRPr="00C3569F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Hazmat dan klasifikasi nahan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0F3327" w:rsidRDefault="000F3327" w:rsidP="00480876">
            <w:pPr>
              <w:pStyle w:val="ListParagraph"/>
              <w:numPr>
                <w:ilvl w:val="0"/>
                <w:numId w:val="14"/>
              </w:numPr>
              <w:spacing w:before="60" w:after="60"/>
              <w:ind w:left="356"/>
              <w:rPr>
                <w:rFonts w:ascii="Arial" w:eastAsia="Calibri" w:hAnsi="Arial" w:cs="Arial"/>
              </w:rPr>
            </w:pPr>
            <w:r w:rsidRPr="000F3327">
              <w:rPr>
                <w:rFonts w:ascii="Arial" w:eastAsia="Calibri" w:hAnsi="Arial" w:cs="Arial"/>
                <w:b/>
                <w:bCs/>
                <w:lang w:val="de-DE"/>
              </w:rPr>
              <w:t>A Comprehensive Guide to the Hazardous Properties of Chemical Substances</w:t>
            </w:r>
            <w:r w:rsidRPr="000F3327">
              <w:rPr>
                <w:rFonts w:ascii="Arial" w:eastAsia="Calibri" w:hAnsi="Arial" w:cs="Arial"/>
                <w:b/>
                <w:bCs/>
              </w:rPr>
              <w:t xml:space="preserve"> </w:t>
            </w:r>
            <w:r w:rsidRPr="000F3327">
              <w:rPr>
                <w:rFonts w:ascii="Arial" w:eastAsia="Calibri" w:hAnsi="Arial" w:cs="Arial"/>
                <w:lang w:val="de-DE"/>
              </w:rPr>
              <w:t>By : Pradyot Patnaik PhD</w:t>
            </w:r>
            <w:r w:rsidRPr="000F3327">
              <w:rPr>
                <w:rFonts w:ascii="Arial" w:eastAsia="Calibri" w:hAnsi="Arial" w:cs="Arial"/>
              </w:rPr>
              <w:t xml:space="preserve">, </w:t>
            </w:r>
            <w:r w:rsidRPr="000F3327">
              <w:rPr>
                <w:rFonts w:ascii="Arial" w:eastAsia="Calibri" w:hAnsi="Arial" w:cs="Arial"/>
                <w:lang w:val="de-DE"/>
              </w:rPr>
              <w:t>3rd Edition</w:t>
            </w:r>
            <w:r w:rsidRPr="000F3327">
              <w:rPr>
                <w:rFonts w:ascii="Arial" w:eastAsia="Calibri" w:hAnsi="Arial" w:cs="Arial"/>
              </w:rPr>
              <w:t xml:space="preserve">, </w:t>
            </w:r>
            <w:r w:rsidRPr="000F3327">
              <w:rPr>
                <w:rFonts w:ascii="Arial" w:eastAsia="Calibri" w:hAnsi="Arial" w:cs="Arial"/>
                <w:lang w:val="de-DE"/>
              </w:rPr>
              <w:t>2007</w:t>
            </w:r>
            <w:r w:rsidRPr="000F3327">
              <w:rPr>
                <w:rFonts w:ascii="Arial" w:eastAsia="Calibri" w:hAnsi="Arial" w:cs="Arial"/>
              </w:rPr>
              <w:t>, J</w:t>
            </w:r>
            <w:r w:rsidRPr="000F3327">
              <w:rPr>
                <w:rFonts w:ascii="Arial" w:eastAsia="Calibri" w:hAnsi="Arial" w:cs="Arial"/>
                <w:lang w:val="de-DE"/>
              </w:rPr>
              <w:t>ohn Wiley and Sons Inc</w:t>
            </w:r>
          </w:p>
        </w:tc>
      </w:tr>
      <w:tr w:rsidR="00D16BB3" w:rsidRPr="00C3569F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  <w:lang w:val="de-DE"/>
              </w:rPr>
              <w:t>pengertian  dan  penggunaan</w:t>
            </w:r>
            <w:r w:rsidRPr="00C3569F">
              <w:rPr>
                <w:rFonts w:ascii="Arial" w:hAnsi="Arial" w:cs="Arial"/>
                <w:bCs/>
              </w:rPr>
              <w:t xml:space="preserve"> </w:t>
            </w:r>
            <w:r w:rsidRPr="00C3569F">
              <w:rPr>
                <w:rFonts w:ascii="Arial" w:hAnsi="Arial" w:cs="Arial"/>
                <w:bCs/>
                <w:lang w:val="de-DE"/>
              </w:rPr>
              <w:t xml:space="preserve">alat-alat  pelindung diri </w:t>
            </w:r>
            <w:r w:rsidRPr="00C3569F">
              <w:rPr>
                <w:rFonts w:ascii="Arial" w:hAnsi="Arial" w:cs="Arial"/>
                <w:bCs/>
              </w:rPr>
              <w:t>(PPE)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00000" w:rsidRPr="000F3327" w:rsidRDefault="00480876" w:rsidP="00480876">
            <w:pPr>
              <w:pStyle w:val="ListParagraph"/>
              <w:numPr>
                <w:ilvl w:val="0"/>
                <w:numId w:val="11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http://de.wikipedia.org/wiki/Atemschutzfilter</w:t>
            </w:r>
          </w:p>
          <w:p w:rsidR="00000000" w:rsidRPr="000F3327" w:rsidRDefault="00480876" w:rsidP="00480876">
            <w:pPr>
              <w:pStyle w:val="ListParagraph"/>
              <w:numPr>
                <w:ilvl w:val="0"/>
                <w:numId w:val="11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Safety Training on Dangerous Goods at Ciputra Hotel 21-09-2004, TNT and BASF Indonesia</w:t>
            </w:r>
          </w:p>
          <w:p w:rsidR="00C3569F" w:rsidRPr="00C3569F" w:rsidRDefault="000F3327" w:rsidP="00480876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http://www.jakartafire.com</w:t>
            </w:r>
          </w:p>
        </w:tc>
      </w:tr>
      <w:tr w:rsidR="00D16BB3" w:rsidRPr="00C3569F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</w:rPr>
              <w:t xml:space="preserve">PPE </w:t>
            </w:r>
            <w:r w:rsidRPr="00C3569F">
              <w:rPr>
                <w:rFonts w:ascii="Arial" w:hAnsi="Arial" w:cs="Arial"/>
                <w:bCs/>
                <w:lang w:val="de-DE"/>
              </w:rPr>
              <w:t>dalam transport barang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D16BB3" w:rsidRPr="000F3327" w:rsidRDefault="00D16BB3" w:rsidP="00480876">
            <w:pPr>
              <w:pStyle w:val="ListParagraph"/>
              <w:numPr>
                <w:ilvl w:val="0"/>
                <w:numId w:val="15"/>
              </w:numPr>
              <w:spacing w:before="240" w:after="240"/>
              <w:ind w:left="356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http://de.wikipedia.org/wiki/Atemschutzfilter</w:t>
            </w:r>
          </w:p>
          <w:p w:rsidR="00D16BB3" w:rsidRDefault="00D16BB3" w:rsidP="00480876">
            <w:pPr>
              <w:pStyle w:val="ListParagraph"/>
              <w:numPr>
                <w:ilvl w:val="0"/>
                <w:numId w:val="15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Safety Training on Dangerous Goods at Ciputra Hotel 21-09-2004, TNT and BASF Indonesia</w:t>
            </w:r>
          </w:p>
          <w:p w:rsidR="00C3569F" w:rsidRPr="00C3569F" w:rsidRDefault="00D16BB3" w:rsidP="00480876">
            <w:pPr>
              <w:pStyle w:val="ListParagraph"/>
              <w:numPr>
                <w:ilvl w:val="0"/>
                <w:numId w:val="15"/>
              </w:numPr>
              <w:spacing w:before="240" w:after="240"/>
              <w:ind w:left="289"/>
              <w:rPr>
                <w:rFonts w:ascii="Arial" w:hAnsi="Arial" w:cs="Arial"/>
              </w:rPr>
            </w:pPr>
            <w:r w:rsidRPr="000F3327">
              <w:rPr>
                <w:rFonts w:ascii="Arial" w:hAnsi="Arial" w:cs="Arial"/>
                <w:lang w:val="de-DE"/>
              </w:rPr>
              <w:t>http://www.jakartafire.com</w:t>
            </w:r>
          </w:p>
        </w:tc>
      </w:tr>
      <w:tr w:rsidR="00D16BB3" w:rsidRPr="00C3569F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Dokumen dalam pengiriman bahan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D16BB3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Internal Standard Operating Procedure Export-Import B3 ver. 2004, PT ASKARA CARGO SEMESTA</w:t>
            </w:r>
          </w:p>
        </w:tc>
      </w:tr>
      <w:tr w:rsidR="00D16BB3" w:rsidRPr="00C3569F" w:rsidTr="00D16BB3">
        <w:trPr>
          <w:trHeight w:val="100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  <w:lang w:val="de-DE"/>
              </w:rPr>
              <w:t>Kebijakan Pemerintah dalam Keselamatan Transportasi Bahan Berbahaya dan Beracun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00000" w:rsidRPr="00D16BB3" w:rsidRDefault="00480876" w:rsidP="00480876">
            <w:pPr>
              <w:numPr>
                <w:ilvl w:val="0"/>
                <w:numId w:val="16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Seminar Keselamatan Transportasi B3 di Jalan, Drs</w:t>
            </w: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. Soeroso Alimoeso, Direktur Lalu lintas dan Angkutan Jalan,Dirjen Perhubungan Darat,27-04-2007</w:t>
            </w:r>
          </w:p>
          <w:p w:rsidR="00000000" w:rsidRPr="00D16BB3" w:rsidRDefault="00480876" w:rsidP="00480876">
            <w:pPr>
              <w:numPr>
                <w:ilvl w:val="0"/>
                <w:numId w:val="16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Chemical Industry Association Germany, http://</w:t>
            </w:r>
            <w:hyperlink r:id="rId11" w:history="1">
              <w:r w:rsidRPr="00D16BB3">
                <w:rPr>
                  <w:rStyle w:val="Hyperlink"/>
                  <w:rFonts w:ascii="Arial" w:eastAsia="Times New Roman" w:hAnsi="Arial" w:cs="Arial"/>
                  <w:lang w:val="de-DE" w:eastAsia="id-ID"/>
                </w:rPr>
                <w:t>www.vci.de</w:t>
              </w:r>
            </w:hyperlink>
            <w:r w:rsidRPr="00D16BB3">
              <w:rPr>
                <w:rFonts w:ascii="Arial" w:eastAsia="Times New Roman" w:hAnsi="Arial" w:cs="Arial"/>
                <w:color w:val="000000"/>
                <w:u w:val="single"/>
                <w:lang w:val="de-DE" w:eastAsia="id-ID"/>
              </w:rPr>
              <w:t xml:space="preserve"> 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97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Pemahaman dasar DG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D16BB3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u w:val="single"/>
                <w:lang w:val="de-DE" w:eastAsia="id-ID"/>
              </w:rPr>
              <w:t>Cefic</w:t>
            </w: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-</w:t>
            </w:r>
            <w:r w:rsidRPr="00D16BB3">
              <w:rPr>
                <w:rFonts w:ascii="Arial" w:eastAsia="Times New Roman" w:hAnsi="Arial" w:cs="Arial"/>
                <w:color w:val="000000"/>
                <w:u w:val="single"/>
                <w:lang w:val="de-DE" w:eastAsia="id-ID"/>
              </w:rPr>
              <w:t>European Chemical Industry Council, http://www.cefic.be/Templates/shwStory.asp?NID=492&amp;HID=365</w:t>
            </w:r>
          </w:p>
        </w:tc>
      </w:tr>
      <w:tr w:rsidR="00D16BB3" w:rsidRPr="00C3569F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UTS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D16BB3" w:rsidRPr="00C3569F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  <w:r w:rsid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10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  <w:lang w:val="en-US"/>
              </w:rPr>
              <w:t xml:space="preserve">Loading/Unloading </w:t>
            </w:r>
            <w:r w:rsidRPr="00C3569F">
              <w:rPr>
                <w:rFonts w:ascii="Arial" w:hAnsi="Arial" w:cs="Arial"/>
                <w:bCs/>
              </w:rPr>
              <w:t>Dangerous Good (Best Practice)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D16BB3" w:rsidP="00C3569F">
            <w:pPr>
              <w:spacing w:after="0" w:line="240" w:lineRule="auto"/>
              <w:ind w:left="289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>Forum diskusi transporter 01.09.2007 rev 01, PT COGNIS INDONESIA</w:t>
            </w:r>
          </w:p>
        </w:tc>
      </w:tr>
      <w:tr w:rsidR="00D16BB3" w:rsidRPr="00C3569F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Penanganan Transportasi Barang Berbahaya, dan keselamatan di jalan raya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00000" w:rsidRPr="00D16BB3" w:rsidRDefault="00C3569F" w:rsidP="00480876">
            <w:pPr>
              <w:numPr>
                <w:ilvl w:val="0"/>
                <w:numId w:val="17"/>
              </w:numPr>
              <w:spacing w:line="240" w:lineRule="auto"/>
              <w:ind w:left="317"/>
              <w:rPr>
                <w:rFonts w:ascii="Arial" w:eastAsia="Times New Roman" w:hAnsi="Arial" w:cs="Arial"/>
                <w:color w:val="000000" w:themeColor="text1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480876" w:rsidRPr="00D16BB3">
              <w:rPr>
                <w:rFonts w:ascii="Arial" w:eastAsia="Times New Roman" w:hAnsi="Arial" w:cs="Arial"/>
                <w:color w:val="000000"/>
                <w:lang w:val="de-DE" w:eastAsia="id-ID"/>
              </w:rPr>
              <w:t xml:space="preserve">Penanganan Limbah B3, PT Otsuka </w:t>
            </w:r>
            <w:r w:rsidR="00480876" w:rsidRPr="00D16BB3">
              <w:rPr>
                <w:rFonts w:ascii="Arial" w:eastAsia="Times New Roman" w:hAnsi="Arial" w:cs="Arial"/>
                <w:color w:val="000000" w:themeColor="text1"/>
                <w:lang w:val="de-DE" w:eastAsia="id-ID"/>
              </w:rPr>
              <w:t>Indonesia.</w:t>
            </w:r>
          </w:p>
          <w:p w:rsidR="00000000" w:rsidRPr="00D16BB3" w:rsidRDefault="00480876" w:rsidP="00480876">
            <w:pPr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Arial" w:eastAsia="Times New Roman" w:hAnsi="Arial" w:cs="Arial"/>
                <w:color w:val="000000" w:themeColor="text1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 w:themeColor="text1"/>
                <w:lang w:val="de-DE" w:eastAsia="id-ID"/>
              </w:rPr>
              <w:t xml:space="preserve">Kementrian Negara Lingkungan Hidup, </w:t>
            </w:r>
            <w:hyperlink r:id="rId12" w:history="1">
              <w:r w:rsidRPr="00D16BB3">
                <w:rPr>
                  <w:rStyle w:val="Hyperlink"/>
                  <w:rFonts w:ascii="Arial" w:eastAsia="Times New Roman" w:hAnsi="Arial" w:cs="Arial"/>
                  <w:color w:val="000000" w:themeColor="text1"/>
                  <w:lang w:val="de-DE" w:eastAsia="id-ID"/>
                </w:rPr>
                <w:t>http://b3.menlh.go.id/welcome/</w:t>
              </w:r>
            </w:hyperlink>
            <w:r w:rsidRPr="00D16BB3">
              <w:rPr>
                <w:rFonts w:ascii="Arial" w:eastAsia="Times New Roman" w:hAnsi="Arial" w:cs="Arial"/>
                <w:color w:val="000000" w:themeColor="text1"/>
                <w:lang w:val="de-DE" w:eastAsia="id-ID"/>
              </w:rPr>
              <w:t xml:space="preserve"> </w:t>
            </w:r>
          </w:p>
          <w:p w:rsidR="00C3569F" w:rsidRPr="00D16BB3" w:rsidRDefault="00C3569F" w:rsidP="00D16BB3">
            <w:pPr>
              <w:pStyle w:val="ListParagraph"/>
              <w:spacing w:after="0" w:line="240" w:lineRule="auto"/>
              <w:ind w:left="317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69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bCs/>
                <w:lang w:val="de-DE"/>
              </w:rPr>
              <w:t>Limbah Bahan,</w:t>
            </w:r>
            <w:r w:rsidRPr="00C3569F">
              <w:rPr>
                <w:rFonts w:ascii="Arial" w:hAnsi="Arial" w:cs="Arial"/>
                <w:bCs/>
              </w:rPr>
              <w:t xml:space="preserve"> </w:t>
            </w:r>
            <w:r w:rsidRPr="00C3569F">
              <w:rPr>
                <w:rFonts w:ascii="Arial" w:hAnsi="Arial" w:cs="Arial"/>
                <w:bCs/>
                <w:lang w:val="de-DE"/>
              </w:rPr>
              <w:t>Berbahaya dan Beracun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D16BB3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hyperlink r:id="rId13" w:history="1">
              <w:r w:rsidRPr="00D16BB3">
                <w:rPr>
                  <w:rStyle w:val="Hyperlink"/>
                  <w:rFonts w:ascii="Arial" w:eastAsia="Times New Roman" w:hAnsi="Arial" w:cs="Arial"/>
                  <w:b/>
                  <w:bCs/>
                  <w:color w:val="000000" w:themeColor="text1"/>
                  <w:u w:val="none"/>
                  <w:lang w:val="de-DE" w:eastAsia="id-ID"/>
                </w:rPr>
                <w:t>Prinsip – prinsip keselamatan muatan angkutan barang berbahaya dan beracun (b3)</w:t>
              </w:r>
            </w:hyperlink>
            <w:r w:rsidRPr="00D16BB3">
              <w:rPr>
                <w:rFonts w:ascii="Arial" w:eastAsia="Times New Roman" w:hAnsi="Arial" w:cs="Arial"/>
                <w:b/>
                <w:bCs/>
                <w:color w:val="000000" w:themeColor="text1"/>
                <w:lang w:val="de-DE" w:eastAsia="id-ID"/>
              </w:rPr>
              <w:t xml:space="preserve"> </w:t>
            </w:r>
            <w:r w:rsidRPr="00D16BB3">
              <w:rPr>
                <w:rFonts w:ascii="Arial" w:eastAsia="Times New Roman" w:hAnsi="Arial" w:cs="Arial"/>
                <w:color w:val="000000" w:themeColor="text1"/>
                <w:lang w:val="de-DE" w:eastAsia="id-ID"/>
              </w:rPr>
              <w:t>http://chemcareasia.wordpress.com</w:t>
            </w:r>
          </w:p>
        </w:tc>
      </w:tr>
      <w:tr w:rsidR="00D16BB3" w:rsidRPr="00C3569F" w:rsidTr="00D16BB3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  <w:i/>
                <w:lang w:val="de-DE"/>
              </w:rPr>
              <w:t>Storage Handling</w:t>
            </w:r>
            <w:r w:rsidRPr="00C3569F">
              <w:rPr>
                <w:rFonts w:ascii="Arial" w:hAnsi="Arial" w:cs="Arial"/>
              </w:rPr>
              <w:t xml:space="preserve"> barang-barang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00000" w:rsidRPr="000F3327" w:rsidRDefault="00C3569F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480876" w:rsidRP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TABY Tankcontainer, </w:t>
            </w:r>
            <w:hyperlink r:id="rId14" w:history="1">
              <w:r w:rsidR="00480876" w:rsidRPr="00D16BB3">
                <w:rPr>
                  <w:color w:val="000000"/>
                  <w:lang w:eastAsia="id-ID"/>
                </w:rPr>
                <w:t>http://www.taby.ch</w:t>
              </w:r>
            </w:hyperlink>
            <w:r w:rsidR="00480876" w:rsidRP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</w:t>
            </w:r>
          </w:p>
          <w:p w:rsidR="00000000" w:rsidRPr="000F3327" w:rsidRDefault="00480876" w:rsidP="00480876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eastAsia="id-ID"/>
              </w:rPr>
              <w:t>Innofluid So</w:t>
            </w:r>
            <w:r w:rsidRP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lution, </w:t>
            </w:r>
            <w:hyperlink r:id="rId15" w:history="1">
              <w:r w:rsidRPr="00D16BB3">
                <w:rPr>
                  <w:color w:val="000000"/>
                  <w:lang w:eastAsia="id-ID"/>
                </w:rPr>
                <w:t>http://flexitank.tripod.com</w:t>
              </w:r>
            </w:hyperlink>
            <w:r w:rsidRPr="00D16BB3">
              <w:rPr>
                <w:rFonts w:ascii="Arial" w:eastAsia="Times New Roman" w:hAnsi="Arial" w:cs="Arial"/>
                <w:color w:val="000000"/>
                <w:lang w:eastAsia="id-ID"/>
              </w:rPr>
              <w:t xml:space="preserve"> </w:t>
            </w:r>
          </w:p>
          <w:p w:rsidR="00C3569F" w:rsidRPr="00C3569F" w:rsidRDefault="000F3327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D16BB3">
              <w:rPr>
                <w:rFonts w:ascii="Arial" w:eastAsia="Times New Roman" w:hAnsi="Arial" w:cs="Arial"/>
                <w:color w:val="000000"/>
                <w:lang w:eastAsia="id-ID"/>
              </w:rPr>
              <w:t>Chemical Lecture Demo, http://www.chem.uiuc.edu</w:t>
            </w:r>
          </w:p>
        </w:tc>
      </w:tr>
      <w:tr w:rsidR="00D16BB3" w:rsidRPr="00C3569F" w:rsidTr="00D16BB3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 xml:space="preserve">Penanganan </w:t>
            </w:r>
            <w:r w:rsidRPr="00C3569F">
              <w:rPr>
                <w:rFonts w:ascii="Arial" w:hAnsi="Arial" w:cs="Arial"/>
                <w:lang w:val="de-DE"/>
              </w:rPr>
              <w:t>Risk Management</w:t>
            </w:r>
            <w:r w:rsidRPr="00C3569F">
              <w:rPr>
                <w:rFonts w:ascii="Arial" w:hAnsi="Arial" w:cs="Arial"/>
              </w:rPr>
              <w:t xml:space="preserve"> bahan berbahaya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F3327" w:rsidRPr="000F3327" w:rsidRDefault="00C3569F" w:rsidP="00480876">
            <w:pPr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0F3327" w:rsidRPr="000F3327">
              <w:rPr>
                <w:rFonts w:ascii="Arial" w:eastAsia="Times New Roman" w:hAnsi="Arial" w:cs="Arial"/>
                <w:color w:val="000000"/>
                <w:lang w:val="de-DE" w:eastAsia="id-ID"/>
              </w:rPr>
              <w:t>Segregation Tabels PT BASF Indonesia</w:t>
            </w:r>
          </w:p>
          <w:p w:rsidR="00C3569F" w:rsidRPr="000F3327" w:rsidRDefault="000F3327" w:rsidP="0048087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F3327">
              <w:rPr>
                <w:rFonts w:ascii="Arial" w:eastAsia="Times New Roman" w:hAnsi="Arial" w:cs="Arial"/>
                <w:color w:val="000000"/>
                <w:lang w:val="de-DE" w:eastAsia="id-ID"/>
              </w:rPr>
              <w:t xml:space="preserve">Safe Storage of Lab Chemicals </w:t>
            </w:r>
            <w:hyperlink r:id="rId16" w:history="1">
              <w:r w:rsidRPr="000F3327">
                <w:rPr>
                  <w:rStyle w:val="Hyperlink"/>
                  <w:rFonts w:ascii="Arial" w:eastAsia="Times New Roman" w:hAnsi="Arial" w:cs="Arial"/>
                  <w:lang w:val="de-DE" w:eastAsia="id-ID"/>
                </w:rPr>
                <w:t>http://chemcareasia.wordpress.com</w:t>
              </w:r>
            </w:hyperlink>
          </w:p>
        </w:tc>
      </w:tr>
      <w:tr w:rsidR="00D16BB3" w:rsidRPr="00C3569F" w:rsidTr="00D16BB3">
        <w:trPr>
          <w:trHeight w:val="97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C356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Pemahaman lanjutan DG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000000" w:rsidRPr="000F3327" w:rsidRDefault="00480876" w:rsidP="00D16BB3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0F3327">
              <w:rPr>
                <w:rFonts w:ascii="Arial" w:eastAsia="Times New Roman" w:hAnsi="Arial" w:cs="Arial"/>
                <w:color w:val="000000"/>
                <w:lang w:val="de-DE" w:eastAsia="id-ID"/>
              </w:rPr>
              <w:t xml:space="preserve">Chemical Storage Handling , </w:t>
            </w:r>
            <w:hyperlink r:id="rId17" w:history="1">
              <w:r w:rsidRPr="000F3327">
                <w:rPr>
                  <w:rStyle w:val="Hyperlink"/>
                  <w:rFonts w:ascii="Arial" w:eastAsia="Times New Roman" w:hAnsi="Arial" w:cs="Arial"/>
                  <w:lang w:val="de-DE" w:eastAsia="id-ID"/>
                </w:rPr>
                <w:t>http://www.workcover.nsw.gov.au/Publications/LawAndPolicy/CodesofPractice/cop_storage_handling_dangerous_goods.htm</w:t>
              </w:r>
            </w:hyperlink>
            <w:r w:rsidRPr="000F3327">
              <w:rPr>
                <w:rFonts w:ascii="Arial" w:eastAsia="Times New Roman" w:hAnsi="Arial" w:cs="Arial"/>
                <w:color w:val="000000"/>
                <w:lang w:val="de-DE" w:eastAsia="id-ID"/>
              </w:rPr>
              <w:t xml:space="preserve"> </w:t>
            </w:r>
          </w:p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:rsidTr="00D16BB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UAS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C3569F" w:rsidRDefault="00B4125C" w:rsidP="00F54AD6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r w:rsidR="00C3569F" w:rsidRPr="00C3569F">
        <w:rPr>
          <w:rFonts w:ascii="Arial" w:hAnsi="Arial" w:cs="Arial"/>
        </w:rPr>
        <w:t>Des</w:t>
      </w:r>
      <w:r w:rsidR="00C36A75" w:rsidRPr="00C3569F">
        <w:rPr>
          <w:rFonts w:ascii="Arial" w:hAnsi="Arial" w:cs="Arial"/>
        </w:rPr>
        <w:t xml:space="preserve"> 2015</w:t>
      </w:r>
    </w:p>
    <w:p w:rsidR="00C3569F" w:rsidRPr="00C3569F" w:rsidRDefault="00C3569F" w:rsidP="00F54AD6">
      <w:pPr>
        <w:ind w:left="360"/>
        <w:rPr>
          <w:rFonts w:ascii="Arial" w:hAnsi="Arial" w:cs="Arial"/>
        </w:rPr>
      </w:pPr>
    </w:p>
    <w:p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Dodi Permadi</w:t>
      </w:r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876" w:rsidRDefault="00480876" w:rsidP="00F0211C">
      <w:pPr>
        <w:spacing w:after="0" w:line="240" w:lineRule="auto"/>
      </w:pPr>
      <w:r>
        <w:separator/>
      </w:r>
    </w:p>
  </w:endnote>
  <w:endnote w:type="continuationSeparator" w:id="1">
    <w:p w:rsidR="00480876" w:rsidRDefault="00480876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876" w:rsidRDefault="00480876" w:rsidP="00F0211C">
      <w:pPr>
        <w:spacing w:after="0" w:line="240" w:lineRule="auto"/>
      </w:pPr>
      <w:r>
        <w:separator/>
      </w:r>
    </w:p>
  </w:footnote>
  <w:footnote w:type="continuationSeparator" w:id="1">
    <w:p w:rsidR="00480876" w:rsidRDefault="00480876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0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16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15"/>
  </w:num>
  <w:num w:numId="11">
    <w:abstractNumId w:val="5"/>
  </w:num>
  <w:num w:numId="12">
    <w:abstractNumId w:val="8"/>
  </w:num>
  <w:num w:numId="13">
    <w:abstractNumId w:val="13"/>
  </w:num>
  <w:num w:numId="14">
    <w:abstractNumId w:val="2"/>
  </w:num>
  <w:num w:numId="15">
    <w:abstractNumId w:val="14"/>
  </w:num>
  <w:num w:numId="16">
    <w:abstractNumId w:val="11"/>
  </w:num>
  <w:num w:numId="17">
    <w:abstractNumId w:val="1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4112"/>
    <w:rsid w:val="000F3327"/>
    <w:rsid w:val="0010104F"/>
    <w:rsid w:val="00112902"/>
    <w:rsid w:val="001332F1"/>
    <w:rsid w:val="00167F82"/>
    <w:rsid w:val="001811AD"/>
    <w:rsid w:val="00193D31"/>
    <w:rsid w:val="001D48CA"/>
    <w:rsid w:val="00235AE6"/>
    <w:rsid w:val="00265FC7"/>
    <w:rsid w:val="00267524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6B7F"/>
    <w:rsid w:val="006D2050"/>
    <w:rsid w:val="006E43CE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A7840"/>
    <w:rsid w:val="008B2354"/>
    <w:rsid w:val="008C2289"/>
    <w:rsid w:val="008D72A6"/>
    <w:rsid w:val="008F507E"/>
    <w:rsid w:val="0091374B"/>
    <w:rsid w:val="009507A9"/>
    <w:rsid w:val="00981910"/>
    <w:rsid w:val="00982086"/>
    <w:rsid w:val="009904E8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31E3"/>
    <w:rsid w:val="00BF52F7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hemcareasia.wordpress.com/2007/03/06/pelatihan-chemgold-ii-di-terminal-peti-kemas-surabay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3.menlh.go.id/welcome/" TargetMode="External"/><Relationship Id="rId17" Type="http://schemas.openxmlformats.org/officeDocument/2006/relationships/hyperlink" Target="http://www.workcover.nsw.gov.au/Publications/LawAndPolicy/CodesofPractice/cop_storage_handling_dangerous_goods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emcareasia.wordpress.com/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ci.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lexitank.tripod.com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taby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AEEF-3716-4D58-AD47-8E2308D6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ASUS</cp:lastModifiedBy>
  <cp:revision>5</cp:revision>
  <dcterms:created xsi:type="dcterms:W3CDTF">2015-12-14T02:07:00Z</dcterms:created>
  <dcterms:modified xsi:type="dcterms:W3CDTF">2015-12-14T14:08:00Z</dcterms:modified>
</cp:coreProperties>
</file>