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4"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BISINIS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MANUAL 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MANUAL STANDAR PENELITIAN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SARANA DAN PRASARANA PENELITIAN)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5"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202</w:t>
      </w:r>
      <w:r w:rsidDel="00000000" w:rsidR="00000000" w:rsidRPr="00000000">
        <w:rPr>
          <w:highlight w:val="white"/>
          <w:rtl w:val="0"/>
        </w:rPr>
        <w:t xml:space="preserve">6</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tl w:val="0"/>
        </w:rPr>
        <w:t xml:space="preserve">kerjasama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antar perguruan tinggi dalam dan luar negeri serta antara perguruan tinggi dengan IDUKA dan pemerintah.</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 DAN TUJUAN MANUAL STANDAR SARANA DAN PRASARANA PENELITIAN</w:t>
      </w:r>
    </w:p>
    <w:p w:rsidR="00000000" w:rsidDel="00000000" w:rsidP="00000000" w:rsidRDefault="00000000" w:rsidRPr="00000000" w14:paraId="0000004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Maksud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Maksud dari pembuatan Manual Standar Sarana dan Prasarana Penelitian Universitas Logistik dan Bisnis Internasional (ULBI) adalah untuk dijadikan sebagai arahan dan panduan dalam pelaksanaan kegiatan penetapan, pelaksanaan, evaluasi, pengendalian, dan peningkatan Standar Sarana dan Prasarana Penelitian di lingkungan Universitas Logistik dan Bisnis Internasional (ULBI).</w:t>
      </w:r>
    </w:p>
    <w:p w:rsidR="00000000" w:rsidDel="00000000" w:rsidP="00000000" w:rsidRDefault="00000000" w:rsidRPr="00000000" w14:paraId="0000004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umum, tujuan Manual Standar Sarana dan Prasarana Penelitian ULBI untuk menjadi arah serta landasan dalam penetapan, pelaksanaan, evaluasi, pengendalian, dan peningkatan Standar Sarana dan Prasarana Penelitian di lingkungan Universitas Logistik dan Bisnis Internasional (ULBI).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Secara khusus tujuan Manual Standar Sarana dan Prasarana Penelitian ULBI adalah sebagai berikut: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Manual Penetapan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Untuk memberikan panduan bagi Pimpinan Universitas, Fakultas, Direktorat, Program Studi, Kepala Biro, Kepala Bagian, dan Kepala Sub Bagian dalam perumusan, penetapan, dan pencapaian standar Sarana dan Prasarana Penelitian di lingkungan Universitas Logistik dan Bisnis Internasional (ULBI).</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Tujuan Manual Pelaksanaan Standar</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 Sarana dan Prasarana Penelitian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Untuk melaksanakan pencapaian Standar Sarana dan Prasarana 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enelitian sebagai berikut:</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9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Memudahkan setiap satuan organisasi atau unit pelaksana dalam mencapai tujuan dan fungsi pengelolaan Standar Sarana dan Prasarana Penelitian.</w:t>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9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monitoring, pengecekan dan pengawasan dan evaluasi secara tepat dan akurat terhadap pelaksanaan pencapaian Standar Sarana dan Prasarana Penelitian.</w:t>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9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Meminimalkan waktu, tenaga, dan biaya dalam pelaksanaan pencapaian Standar Sarana dan Prasarana Penelitian, termasuk menghindari adanya kegagalan dalam pencapaian standar Sarana dan Prasarana Penelitian.</w:t>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920"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Meningkatkan efektivitas pelaksanaan pencapaian Standar Sarana dan Prasarana Penelitian.</w:t>
      </w:r>
      <w:r w:rsidDel="00000000" w:rsidR="00000000" w:rsidRPr="00000000">
        <w:rPr>
          <w:rtl w:val="0"/>
        </w:rPr>
      </w:r>
    </w:p>
    <w:p w:rsidR="00000000" w:rsidDel="00000000" w:rsidP="00000000" w:rsidRDefault="00000000" w:rsidRPr="00000000" w14:paraId="0000005C">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Tujuan Manual Evaluasi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Untuk melaksanakan evaluasi pelaksanaan dan hasil pencapaian Standar Sarana dan Prasarana Penelitian di lingkungan Universitas Logistik dan Bisnis Internasional (ULBI), sehingga pelaksanaan dan hasilnya dapat dikendalikan.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Tujuan Manual Pengendalian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Untuk mengendalikan pelaksanaannya dan hasil pelaksanaan pencapaian Standar Sarana dan Prasarana Penelitian di lingkungan Universitas Logistik dan Bisnis Internasional (ULBI), sehingga pelaksanaan dan hasilnya dapat dicapai secara optimal.</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1560" w:right="0" w:hanging="72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Tujuan Manual Peningkatan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Untuk meningkatkan mutu pelaksanaan dan hasil pencapaian Standar Sarana dan Prasarana Penelitian di lingkungan Universitas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Logistik dan Bisnis Internasional (ULBI).</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 LINGKUP MANUAL STANDAR SARANA DAN PRASARANA PENELITIAN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Ruang lingkup dari manual Standar Sarana dan Prasarana Penelitian adalah dokumen berisi petunjuk teknis tentang cara, langkah, atau prosedur PPEPP Standar Sarana dan Prasarana Penelitian secara berkelanjutan oleh pihak yang bertanggung jawab dalam implementasi SPMI di Universitas Logistik dan Bisnis Internasional (ULBI).</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Sarana dan Prasarana Penelitian mencakup PPEPP Standar Sarana dan Prasarana Penelitian sebagai berikut:</w:t>
      </w:r>
    </w:p>
    <w:p w:rsidR="00000000" w:rsidDel="00000000" w:rsidP="00000000" w:rsidRDefault="00000000" w:rsidRPr="00000000" w14:paraId="0000006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Manual Penetapan Stan</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Berlaku ketika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Penelitian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dirancang, dirumuskan, dan ditetapkan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Manual Pelaksanaan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Berlaku ketika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Penelitian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harus dilaksanakan dalam menunjang kegiatan penyelenggaraan</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Penelitian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oleh semua unit kerja pada semua level manajemen</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Manual Evaluasi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Berlaku ketika dilakukan evaluasi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Penelitian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secara berkelanjutan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untuk mengetahui apakah perencanaan, pengadaan, penggunaan, dan pemeliharaan Sarana dan Prasarana Penelitian dicapai sesuai dengan</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Penelitian yang telah ditetapkan.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Manual Pengendalian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Berlaku ketika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Penelitian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telah dilaksanakan dan dievaluasi pada tahap sebelumnya. Pengendalian adalah tindakan koreksi agar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Prasarana Penelitian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terpenuhi</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sz w:val="22"/>
          <w:szCs w:val="22"/>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Manual Peningkatan Standar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Berlaku ketika pelaksanaan isi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Standar Sarana dan Prasaran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Penelitian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telah berakhir dalam satu siklus, kemudian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Penelitian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tersebut dikembangkan/ditingkatkan untuk pencapaian ke siklus berikutnya.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segala sesuatu yang dapat dipakai sebagai alat dalam mencapai maksud atau tujuan dalam kegiatan penelitian</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Prasarana, segala sesuatu yang merupakan penunjang utama terselenggaranya suatu proses penelitian</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Penelitian adalah kegiatan yang dilakukan menurut kaidah dan metode ilmiah secara sistematis untuk memperoleh informasi, data, dan keterangan yang berkaitan dengan pemahaman dan/atau pengujian suatu cabang ilmu pengetahuan dan teknologi </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Penelitian merupakan kriteria minimal tentang sarana dan prasarana sesuai dengan kegiatan dan proses penelitian dalam rangka pengumpulan dan analisis data dengan metode ilmiah</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w:t>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Penetapan Standar</w:t>
      </w:r>
    </w:p>
    <w:p w:rsidR="00000000" w:rsidDel="00000000" w:rsidP="00000000" w:rsidRDefault="00000000" w:rsidRPr="00000000" w14:paraId="000000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menetapkan Standar Sarana dan Prasarana Penelitian, sesuai dengan rencana proses perumusan kebijakan bidang fasilitas terkait Sarana dan Prasarana Penelitian.</w:t>
      </w:r>
    </w:p>
    <w:p w:rsidR="00000000" w:rsidDel="00000000" w:rsidP="00000000" w:rsidRDefault="00000000" w:rsidRPr="00000000" w14:paraId="0000007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 merencanakan proses perumusan kebijakan bidang sarana dan prasarana terkait standar Sarana dan Prasarana Penelitian dengan mempertimbangkan Statuta, Renstra, Visi dan Misi, serta peraturan perundang-undangan yang relevan.</w:t>
      </w:r>
    </w:p>
    <w:p w:rsidR="00000000" w:rsidDel="00000000" w:rsidP="00000000" w:rsidRDefault="00000000" w:rsidRPr="00000000" w14:paraId="0000007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 merumuskan dan menyusun rencana kebijakan terkait Standar Sarana dan Prasarana Penelitian.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Pelaksanaan Standar</w:t>
      </w:r>
    </w:p>
    <w:p w:rsidR="00000000" w:rsidDel="00000000" w:rsidP="00000000" w:rsidRDefault="00000000" w:rsidRPr="00000000" w14:paraId="0000008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 melakukan persiapan evaluasi dan analisis kebutuhan Sarana dan Prasarana Penelitian yang mengacu pada rencana pengembangan Sarana dan Prasarana (Penelitian).</w:t>
      </w:r>
    </w:p>
    <w:p w:rsidR="00000000" w:rsidDel="00000000" w:rsidP="00000000" w:rsidRDefault="00000000" w:rsidRPr="00000000" w14:paraId="0000008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 membuat dokumen tertulis Prosedur Pelaksanaan Sarana dan Prasarana Penelitian, setelah melakukan persiapan evaluasi dan analisis Standar Sarana dan Prasarana Penelitian.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Evaluasi Standar</w:t>
      </w:r>
    </w:p>
    <w:p w:rsidR="00000000" w:rsidDel="00000000" w:rsidP="00000000" w:rsidRDefault="00000000" w:rsidRPr="00000000" w14:paraId="0000008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Melakukan pengukuran secara periodik terhadap ketercapaian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Pencatatan atau merekam semua temuan berupa penyimpangan atau kelalaian dari pelaksanaan yang tidak sesuai atau ketidak-lengkapan dokumen.</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36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Memeriksa atau mempelajari alasan atau penyebab terjadinya penyimpangan dari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Penelitian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atau bila isi standar.</w:t>
      </w:r>
    </w:p>
    <w:p w:rsidR="00000000" w:rsidDel="00000000" w:rsidP="00000000" w:rsidRDefault="00000000" w:rsidRPr="00000000" w14:paraId="0000008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 membuat laporan tertulis mengenai evaluasi dalam pengembangan Sarana dan Prasarana Penelitian.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Pengendalian Standar</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Kabag SDM dan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Fasilitas</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Melakukan pemeriksaan terhadap pencapaian standar dan atau penyimpangan yang terjadi terhadap pencapaian standar.</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Merekam semua temuan berupa penyimpangan atau kelalaian dari pelaksanaan yang tidak sesuai atau ketidak-lengkapan dokumen.</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Memeriksa dan mempelajari alasan atau penyebab terjadinya penyimpangan dari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Penelitian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atau isi standar gagal dicapai.</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18"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Mengambil tindakan korektif untuk direkomendasikan kepada Wakil Rektor II terhadap setiap penyimpangan/kegagalan ketercapaian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Penelitian.</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II membuat evaluasi pengendalian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Penelitian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Langkah-langkah/Prosedur Peningkatan Standar</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dan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Fasilitas:</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mempelajari laporan hasil pengendalian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Penelitian.</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rapat untuk membicarakan hasil laporan dengan mengundang Wakil Rektor II dan Kabag </w:t>
      </w:r>
      <w:r w:rsidDel="00000000" w:rsidR="00000000" w:rsidRPr="00000000">
        <w:rPr>
          <w:rtl w:val="0"/>
        </w:rPr>
        <w:t xml:space="preserve">Infrastruktur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Dukungan Teknis (jka diperlukan karena berkenaan dengan laboratorium); serta </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revisi isi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sehingga menjadi </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Penelitian baru yang memenuhi atau sesuai dengan permintaan pengguna lulusan.</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Wakil Rektor II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mengevaluasi</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 isi Standar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dan Prasarana Penelitian</w:t>
      </w:r>
      <w:r w:rsidDel="00000000" w:rsidR="00000000" w:rsidRPr="00000000">
        <w:rPr>
          <w:rFonts w:ascii="Calibri" w:cs="Calibri" w:eastAsia="Calibri" w:hAnsi="Calibri"/>
          <w:b w:val="0"/>
          <w:i w:val="0"/>
          <w:smallCaps w:val="0"/>
          <w:strike w:val="0"/>
          <w:color w:val="231f2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MENJALANKAN MANUAL STANDAR</w:t>
      </w:r>
    </w:p>
    <w:tbl>
      <w:tblPr>
        <w:tblStyle w:val="Table2"/>
        <w:tblW w:w="880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1212"/>
        <w:gridCol w:w="1362"/>
        <w:gridCol w:w="1014"/>
        <w:gridCol w:w="1457"/>
        <w:gridCol w:w="1356"/>
        <w:tblGridChange w:id="0">
          <w:tblGrid>
            <w:gridCol w:w="2405"/>
            <w:gridCol w:w="1212"/>
            <w:gridCol w:w="1362"/>
            <w:gridCol w:w="1014"/>
            <w:gridCol w:w="1457"/>
            <w:gridCol w:w="1356"/>
          </w:tblGrid>
        </w:tblGridChange>
      </w:tblGrid>
      <w:tr>
        <w:trPr>
          <w:cantSplit w:val="0"/>
          <w:tblHeader w:val="0"/>
        </w:trPr>
        <w:tc>
          <w:tcPr>
            <w:shd w:fill="e7e6e6"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Pejabat/Petugas</w:t>
            </w:r>
          </w:p>
        </w:tc>
        <w:tc>
          <w:tcPr>
            <w:shd w:fill="e7e6e6"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Penetapan</w:t>
            </w:r>
          </w:p>
        </w:tc>
        <w:tc>
          <w:tcPr>
            <w:shd w:fill="e7e6e6"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Pelaksanaan</w:t>
            </w:r>
          </w:p>
        </w:tc>
        <w:tc>
          <w:tcPr>
            <w:shd w:fill="e7e6e6"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Evaluasi</w:t>
            </w:r>
          </w:p>
        </w:tc>
        <w:tc>
          <w:tcPr>
            <w:shd w:fill="e7e6e6"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Pengendalian</w:t>
            </w:r>
          </w:p>
        </w:tc>
        <w:tc>
          <w:tcPr>
            <w:shd w:fill="e7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Peningkatan</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 Renstra dan Manajemen Aset (sarana dan prasarana) penelitian</w:t>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 mekanisme/formulir pengadaan, penggunaan (SOP), dan pemeliharaan sarana dan prasarana penelitian.</w:t>
      </w:r>
    </w:p>
    <w:p w:rsidR="00000000" w:rsidDel="00000000" w:rsidP="00000000" w:rsidRDefault="00000000" w:rsidRPr="00000000" w14:paraId="000000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Aset (sarana dan prasarana) penelitian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SARANA DAN PRASARANA YANG DIPERLUKAN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Informasi Sarana dan Prasarana yang dapat merekam Sarana dan Prasarana Penelitian dan mengelola data untuk pemantauan dan evaluasi secara periodik agar terjadi peningkatan mutu Penelitian yang berkelanjutan.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STANDAR PENELITIAN ULBI</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decimal"/>
      <w:lvlText w:val="%2."/>
      <w:lvlJc w:val="left"/>
      <w:pPr>
        <w:ind w:left="2040" w:hanging="60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5"/>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lowerLetter"/>
      <w:lvlText w:val="%1."/>
      <w:lvlJc w:val="left"/>
      <w:pPr>
        <w:ind w:left="1364" w:hanging="360"/>
      </w:pPr>
      <w:rPr/>
    </w:lvl>
    <w:lvl w:ilvl="1">
      <w:start w:val="1"/>
      <w:numFmt w:val="lowerLetter"/>
      <w:lvlText w:val="%2."/>
      <w:lvlJc w:val="left"/>
      <w:pPr>
        <w:ind w:left="2084" w:hanging="360"/>
      </w:pPr>
      <w:rPr/>
    </w:lvl>
    <w:lvl w:ilvl="2">
      <w:start w:val="1"/>
      <w:numFmt w:val="lowerRoman"/>
      <w:lvlText w:val="%3."/>
      <w:lvlJc w:val="right"/>
      <w:pPr>
        <w:ind w:left="2804" w:hanging="180"/>
      </w:pPr>
      <w:rPr/>
    </w:lvl>
    <w:lvl w:ilvl="3">
      <w:start w:val="1"/>
      <w:numFmt w:val="decimal"/>
      <w:lvlText w:val="%4."/>
      <w:lvlJc w:val="left"/>
      <w:pPr>
        <w:ind w:left="3524" w:hanging="360"/>
      </w:pPr>
      <w:rPr/>
    </w:lvl>
    <w:lvl w:ilvl="4">
      <w:start w:val="1"/>
      <w:numFmt w:val="lowerLetter"/>
      <w:lvlText w:val="%5."/>
      <w:lvlJc w:val="left"/>
      <w:pPr>
        <w:ind w:left="4244" w:hanging="360"/>
      </w:pPr>
      <w:rPr/>
    </w:lvl>
    <w:lvl w:ilvl="5">
      <w:start w:val="1"/>
      <w:numFmt w:val="lowerRoman"/>
      <w:lvlText w:val="%6."/>
      <w:lvlJc w:val="right"/>
      <w:pPr>
        <w:ind w:left="4964" w:hanging="180"/>
      </w:pPr>
      <w:rPr/>
    </w:lvl>
    <w:lvl w:ilvl="6">
      <w:start w:val="1"/>
      <w:numFmt w:val="decimal"/>
      <w:lvlText w:val="%7."/>
      <w:lvlJc w:val="left"/>
      <w:pPr>
        <w:ind w:left="5684" w:hanging="360"/>
      </w:pPr>
      <w:rPr/>
    </w:lvl>
    <w:lvl w:ilvl="7">
      <w:start w:val="1"/>
      <w:numFmt w:val="lowerLetter"/>
      <w:lvlText w:val="%8."/>
      <w:lvlJc w:val="left"/>
      <w:pPr>
        <w:ind w:left="6404" w:hanging="360"/>
      </w:pPr>
      <w:rPr/>
    </w:lvl>
    <w:lvl w:ilvl="8">
      <w:start w:val="1"/>
      <w:numFmt w:val="lowerRoman"/>
      <w:lvlText w:val="%9."/>
      <w:lvlJc w:val="right"/>
      <w:pPr>
        <w:ind w:left="7124" w:hanging="180"/>
      </w:pPr>
      <w:rPr/>
    </w:lvl>
  </w:abstractNum>
  <w:abstractNum w:abstractNumId="5">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7">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lowerLetter"/>
      <w:lvlText w:val="%1."/>
      <w:lvlJc w:val="left"/>
      <w:pPr>
        <w:ind w:left="2073" w:hanging="360"/>
      </w:pPr>
      <w:rPr/>
    </w:lvl>
    <w:lvl w:ilvl="1">
      <w:start w:val="1"/>
      <w:numFmt w:val="lowerLetter"/>
      <w:lvlText w:val="%2."/>
      <w:lvlJc w:val="left"/>
      <w:pPr>
        <w:ind w:left="2793" w:hanging="360"/>
      </w:pPr>
      <w:rPr/>
    </w:lvl>
    <w:lvl w:ilvl="2">
      <w:start w:val="1"/>
      <w:numFmt w:val="lowerRoman"/>
      <w:lvlText w:val="%3."/>
      <w:lvlJc w:val="right"/>
      <w:pPr>
        <w:ind w:left="3513" w:hanging="180"/>
      </w:pPr>
      <w:rPr/>
    </w:lvl>
    <w:lvl w:ilvl="3">
      <w:start w:val="1"/>
      <w:numFmt w:val="decimal"/>
      <w:lvlText w:val="%4."/>
      <w:lvlJc w:val="left"/>
      <w:pPr>
        <w:ind w:left="4233" w:hanging="360"/>
      </w:pPr>
      <w:rPr/>
    </w:lvl>
    <w:lvl w:ilvl="4">
      <w:start w:val="1"/>
      <w:numFmt w:val="lowerLetter"/>
      <w:lvlText w:val="%5."/>
      <w:lvlJc w:val="left"/>
      <w:pPr>
        <w:ind w:left="4953" w:hanging="360"/>
      </w:pPr>
      <w:rPr/>
    </w:lvl>
    <w:lvl w:ilvl="5">
      <w:start w:val="1"/>
      <w:numFmt w:val="lowerRoman"/>
      <w:lvlText w:val="%6."/>
      <w:lvlJc w:val="right"/>
      <w:pPr>
        <w:ind w:left="5673" w:hanging="180"/>
      </w:pPr>
      <w:rPr/>
    </w:lvl>
    <w:lvl w:ilvl="6">
      <w:start w:val="1"/>
      <w:numFmt w:val="decimal"/>
      <w:lvlText w:val="%7."/>
      <w:lvlJc w:val="left"/>
      <w:pPr>
        <w:ind w:left="6393" w:hanging="360"/>
      </w:pPr>
      <w:rPr/>
    </w:lvl>
    <w:lvl w:ilvl="7">
      <w:start w:val="1"/>
      <w:numFmt w:val="lowerLetter"/>
      <w:lvlText w:val="%8."/>
      <w:lvlJc w:val="left"/>
      <w:pPr>
        <w:ind w:left="7113" w:hanging="360"/>
      </w:pPr>
      <w:rPr/>
    </w:lvl>
    <w:lvl w:ilvl="8">
      <w:start w:val="1"/>
      <w:numFmt w:val="lowerRoman"/>
      <w:lvlText w:val="%9."/>
      <w:lvlJc w:val="right"/>
      <w:pPr>
        <w:ind w:left="7833" w:hanging="180"/>
      </w:pPr>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lowerLetter"/>
      <w:lvlText w:val="%1."/>
      <w:lvlJc w:val="left"/>
      <w:pPr>
        <w:ind w:left="1440" w:hanging="360"/>
      </w:pPr>
      <w:rPr>
        <w:color w:val="00000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2">
    <w:lvl w:ilvl="0">
      <w:start w:val="1"/>
      <w:numFmt w:val="decimal"/>
      <w:lvlText w:val="%1."/>
      <w:lvlJc w:val="left"/>
      <w:pPr>
        <w:ind w:left="1920" w:hanging="360"/>
      </w:pPr>
      <w:rPr/>
    </w:lvl>
    <w:lvl w:ilvl="1">
      <w:start w:val="1"/>
      <w:numFmt w:val="lowerLetter"/>
      <w:lvlText w:val="%2."/>
      <w:lvlJc w:val="left"/>
      <w:pPr>
        <w:ind w:left="2640" w:hanging="360"/>
      </w:pPr>
      <w:rPr/>
    </w:lvl>
    <w:lvl w:ilvl="2">
      <w:start w:val="1"/>
      <w:numFmt w:val="lowerRoman"/>
      <w:lvlText w:val="%3."/>
      <w:lvlJc w:val="right"/>
      <w:pPr>
        <w:ind w:left="3360" w:hanging="180"/>
      </w:pPr>
      <w:rPr/>
    </w:lvl>
    <w:lvl w:ilvl="3">
      <w:start w:val="1"/>
      <w:numFmt w:val="decimal"/>
      <w:lvlText w:val="%4."/>
      <w:lvlJc w:val="left"/>
      <w:pPr>
        <w:ind w:left="4080" w:hanging="360"/>
      </w:pPr>
      <w:rPr/>
    </w:lvl>
    <w:lvl w:ilvl="4">
      <w:start w:val="1"/>
      <w:numFmt w:val="lowerLetter"/>
      <w:lvlText w:val="%5."/>
      <w:lvlJc w:val="left"/>
      <w:pPr>
        <w:ind w:left="4800" w:hanging="360"/>
      </w:pPr>
      <w:rPr/>
    </w:lvl>
    <w:lvl w:ilvl="5">
      <w:start w:val="1"/>
      <w:numFmt w:val="lowerRoman"/>
      <w:lvlText w:val="%6."/>
      <w:lvlJc w:val="right"/>
      <w:pPr>
        <w:ind w:left="5520" w:hanging="180"/>
      </w:pPr>
      <w:rPr/>
    </w:lvl>
    <w:lvl w:ilvl="6">
      <w:start w:val="1"/>
      <w:numFmt w:val="decimal"/>
      <w:lvlText w:val="%7."/>
      <w:lvlJc w:val="left"/>
      <w:pPr>
        <w:ind w:left="6240" w:hanging="360"/>
      </w:pPr>
      <w:rPr/>
    </w:lvl>
    <w:lvl w:ilvl="7">
      <w:start w:val="1"/>
      <w:numFmt w:val="lowerLetter"/>
      <w:lvlText w:val="%8."/>
      <w:lvlJc w:val="left"/>
      <w:pPr>
        <w:ind w:left="6960" w:hanging="360"/>
      </w:pPr>
      <w:rPr/>
    </w:lvl>
    <w:lvl w:ilvl="8">
      <w:start w:val="1"/>
      <w:numFmt w:val="lowerRoman"/>
      <w:lvlText w:val="%9."/>
      <w:lvlJc w:val="right"/>
      <w:pPr>
        <w:ind w:left="7680" w:hanging="180"/>
      </w:pPr>
      <w:rPr/>
    </w:lvl>
  </w:abstractNum>
  <w:abstractNum w:abstractNumId="13">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4">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5">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6">
    <w:lvl w:ilvl="0">
      <w:start w:val="1"/>
      <w:numFmt w:val="decimal"/>
      <w:lvlText w:val="%1."/>
      <w:lvlJc w:val="left"/>
      <w:pPr>
        <w:ind w:left="1004" w:hanging="360"/>
      </w:pPr>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basedOn w:val="Normal"/>
    <w:uiPriority w:val="34"/>
    <w:qFormat w:val="1"/>
    <w:rsid w:val="009D297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I4QQ4JNxRIYFArkCZydja2F+rw==">AMUW2mWyNdRu/4rRZ1xD4BWYlZvtZtBfgXe/BnUUVE/mqVb6G76ZcMyLNePNe315XbGA17eI4D078D1YUQsBmgQp4JyR6rgDjMk9gsdJJqPouIPHImYKgJU=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2022-08-11T01:45:00Z</dcterms:created>
  <dc:creator>Anggi WIdiya Purnama</dc:creator>
</cp:coreProperties>
</file>