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2593" w14:textId="77777777" w:rsidR="00344726" w:rsidRDefault="003447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3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344726" w14:paraId="3ECAC548" w14:textId="77777777">
        <w:tc>
          <w:tcPr>
            <w:tcW w:w="2106" w:type="dxa"/>
            <w:vMerge w:val="restart"/>
          </w:tcPr>
          <w:p w14:paraId="75A125E2" w14:textId="77777777" w:rsidR="00344726" w:rsidRDefault="004F7BD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D42BD1E" wp14:editId="345E2375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0" b="0"/>
                  <wp:wrapSquare wrapText="bothSides" distT="0" distB="0" distL="114300" distR="114300"/>
                  <wp:docPr id="4" name="image2.png" descr="C:\Users\Anggi WIdiya Purnama\AppData\Local\Microsoft\Windows\INetCache\Content.Word\LOGO ULBI - WIDE DAR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Anggi WIdiya Purnama\AppData\Local\Microsoft\Windows\INetCache\Content.Word\LOGO ULBI - WIDE DARK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23732C2" w14:textId="77777777" w:rsidR="00344726" w:rsidRDefault="00344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9" w:type="dxa"/>
            <w:vMerge w:val="restart"/>
          </w:tcPr>
          <w:p w14:paraId="5AA3066E" w14:textId="77777777" w:rsidR="00344726" w:rsidRDefault="004F7B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UNIVERSITAS LOGISTIK &amp; BISINIS INTERNASIONAL</w:t>
            </w:r>
          </w:p>
          <w:p w14:paraId="3B3A8E84" w14:textId="77777777" w:rsidR="00344726" w:rsidRDefault="004F7BDE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Jl. Sari </w:t>
            </w:r>
            <w:proofErr w:type="spellStart"/>
            <w:r>
              <w:rPr>
                <w:b/>
                <w:sz w:val="24"/>
                <w:szCs w:val="24"/>
              </w:rPr>
              <w:t>Asih</w:t>
            </w:r>
            <w:proofErr w:type="spellEnd"/>
            <w:r>
              <w:rPr>
                <w:b/>
                <w:sz w:val="24"/>
                <w:szCs w:val="24"/>
              </w:rPr>
              <w:t xml:space="preserve"> No 54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Sarijadi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Kec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Sukasari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</w:p>
          <w:p w14:paraId="507A2EA6" w14:textId="77777777" w:rsidR="00344726" w:rsidRDefault="004F7BDE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Kota </w:t>
            </w:r>
            <w:proofErr w:type="spellStart"/>
            <w:proofErr w:type="gramStart"/>
            <w:r>
              <w:rPr>
                <w:b/>
                <w:color w:val="202124"/>
                <w:sz w:val="24"/>
                <w:szCs w:val="24"/>
                <w:highlight w:val="white"/>
              </w:rPr>
              <w:t>Bandung,Jawa</w:t>
            </w:r>
            <w:proofErr w:type="spellEnd"/>
            <w:proofErr w:type="gram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Barat 40151</w:t>
            </w:r>
          </w:p>
        </w:tc>
        <w:tc>
          <w:tcPr>
            <w:tcW w:w="1084" w:type="dxa"/>
          </w:tcPr>
          <w:p w14:paraId="7A5C8831" w14:textId="77777777" w:rsidR="00344726" w:rsidRDefault="004F7BDE">
            <w:r>
              <w:t xml:space="preserve">No. </w:t>
            </w:r>
            <w:proofErr w:type="spellStart"/>
            <w:r>
              <w:t>Dok</w:t>
            </w:r>
            <w:proofErr w:type="spellEnd"/>
          </w:p>
        </w:tc>
        <w:tc>
          <w:tcPr>
            <w:tcW w:w="281" w:type="dxa"/>
          </w:tcPr>
          <w:p w14:paraId="4AE1C399" w14:textId="77777777" w:rsidR="00344726" w:rsidRDefault="004F7BDE">
            <w:r>
              <w:t>:</w:t>
            </w:r>
          </w:p>
        </w:tc>
        <w:tc>
          <w:tcPr>
            <w:tcW w:w="1896" w:type="dxa"/>
          </w:tcPr>
          <w:p w14:paraId="5219B1E7" w14:textId="77777777" w:rsidR="00344726" w:rsidRDefault="00344726"/>
        </w:tc>
      </w:tr>
      <w:tr w:rsidR="00344726" w14:paraId="2A1F8A2A" w14:textId="77777777">
        <w:trPr>
          <w:trHeight w:val="64"/>
        </w:trPr>
        <w:tc>
          <w:tcPr>
            <w:tcW w:w="2106" w:type="dxa"/>
            <w:vMerge/>
          </w:tcPr>
          <w:p w14:paraId="03FF373F" w14:textId="77777777" w:rsidR="00344726" w:rsidRDefault="003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70F7286D" w14:textId="77777777" w:rsidR="00344726" w:rsidRDefault="003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54D6D4CF" w14:textId="77777777" w:rsidR="00344726" w:rsidRDefault="004F7BDE">
            <w:r>
              <w:t>Ed/Rev</w:t>
            </w:r>
          </w:p>
        </w:tc>
        <w:tc>
          <w:tcPr>
            <w:tcW w:w="281" w:type="dxa"/>
          </w:tcPr>
          <w:p w14:paraId="50AEE2BD" w14:textId="77777777" w:rsidR="00344726" w:rsidRDefault="004F7BDE">
            <w:r>
              <w:t>:</w:t>
            </w:r>
          </w:p>
        </w:tc>
        <w:tc>
          <w:tcPr>
            <w:tcW w:w="1896" w:type="dxa"/>
          </w:tcPr>
          <w:p w14:paraId="603D48D2" w14:textId="77777777" w:rsidR="00344726" w:rsidRDefault="00344726"/>
        </w:tc>
      </w:tr>
      <w:tr w:rsidR="00344726" w14:paraId="7E9E6685" w14:textId="77777777">
        <w:tc>
          <w:tcPr>
            <w:tcW w:w="2106" w:type="dxa"/>
            <w:vMerge/>
          </w:tcPr>
          <w:p w14:paraId="170439FD" w14:textId="77777777" w:rsidR="00344726" w:rsidRDefault="003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18315263" w14:textId="77777777" w:rsidR="00344726" w:rsidRDefault="003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373271A3" w14:textId="77777777" w:rsidR="00344726" w:rsidRDefault="004F7BDE">
            <w:proofErr w:type="spellStart"/>
            <w:r>
              <w:t>Tgl</w:t>
            </w:r>
            <w:proofErr w:type="spellEnd"/>
          </w:p>
        </w:tc>
        <w:tc>
          <w:tcPr>
            <w:tcW w:w="281" w:type="dxa"/>
          </w:tcPr>
          <w:p w14:paraId="253E539B" w14:textId="77777777" w:rsidR="00344726" w:rsidRDefault="004F7BDE">
            <w:r>
              <w:t>:</w:t>
            </w:r>
          </w:p>
        </w:tc>
        <w:tc>
          <w:tcPr>
            <w:tcW w:w="1896" w:type="dxa"/>
          </w:tcPr>
          <w:p w14:paraId="631A2F88" w14:textId="77777777" w:rsidR="00344726" w:rsidRDefault="00344726"/>
        </w:tc>
      </w:tr>
      <w:tr w:rsidR="00344726" w14:paraId="571BBD2E" w14:textId="77777777">
        <w:tc>
          <w:tcPr>
            <w:tcW w:w="2106" w:type="dxa"/>
            <w:vMerge/>
          </w:tcPr>
          <w:p w14:paraId="1DCFEEA9" w14:textId="77777777" w:rsidR="00344726" w:rsidRDefault="003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Align w:val="center"/>
          </w:tcPr>
          <w:p w14:paraId="4D038410" w14:textId="77777777" w:rsidR="00344726" w:rsidRDefault="004F7BD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 SPMI</w:t>
            </w:r>
          </w:p>
        </w:tc>
        <w:tc>
          <w:tcPr>
            <w:tcW w:w="1084" w:type="dxa"/>
            <w:vAlign w:val="center"/>
          </w:tcPr>
          <w:p w14:paraId="1AEE3C45" w14:textId="77777777" w:rsidR="00344726" w:rsidRDefault="004F7BDE">
            <w:proofErr w:type="spellStart"/>
            <w:r>
              <w:t>Halaman</w:t>
            </w:r>
            <w:proofErr w:type="spellEnd"/>
          </w:p>
        </w:tc>
        <w:tc>
          <w:tcPr>
            <w:tcW w:w="281" w:type="dxa"/>
            <w:vAlign w:val="center"/>
          </w:tcPr>
          <w:p w14:paraId="408AF078" w14:textId="77777777" w:rsidR="00344726" w:rsidRDefault="004F7BDE">
            <w:r>
              <w:t>:</w:t>
            </w:r>
          </w:p>
        </w:tc>
        <w:tc>
          <w:tcPr>
            <w:tcW w:w="1896" w:type="dxa"/>
            <w:vAlign w:val="center"/>
          </w:tcPr>
          <w:p w14:paraId="2D37F76C" w14:textId="77777777" w:rsidR="00344726" w:rsidRDefault="00344726"/>
        </w:tc>
      </w:tr>
    </w:tbl>
    <w:p w14:paraId="5E356A78" w14:textId="77777777" w:rsidR="00344726" w:rsidRDefault="00344726"/>
    <w:p w14:paraId="424278DA" w14:textId="77777777" w:rsidR="00344726" w:rsidRDefault="00344726"/>
    <w:p w14:paraId="0B231552" w14:textId="77777777" w:rsidR="00344726" w:rsidRDefault="00344726"/>
    <w:p w14:paraId="5BF5A143" w14:textId="77777777" w:rsidR="00344726" w:rsidRDefault="00344726"/>
    <w:p w14:paraId="79386333" w14:textId="77777777" w:rsidR="00344726" w:rsidRDefault="00344726"/>
    <w:p w14:paraId="03428FE5" w14:textId="77777777" w:rsidR="00344726" w:rsidRDefault="00344726"/>
    <w:p w14:paraId="2B96FB1E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STANDAR PENELITIAN</w:t>
      </w:r>
    </w:p>
    <w:p w14:paraId="5A2C66D8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(STANDAR PROSES PENELITIAN)</w:t>
      </w:r>
    </w:p>
    <w:p w14:paraId="74725F1B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62B78B90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671FDC9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4E21E621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5865F3A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EFFE261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99C6075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4F2D2B57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noProof/>
          <w:color w:val="000000"/>
        </w:rPr>
        <w:drawing>
          <wp:inline distT="0" distB="0" distL="0" distR="0" wp14:anchorId="1A830737" wp14:editId="2FB875F0">
            <wp:extent cx="2752801" cy="1004400"/>
            <wp:effectExtent l="0" t="0" r="0" b="0"/>
            <wp:docPr id="5" name="image1.png" descr="C:\Users\Anggi WIdiya Purnama\AppData\Local\Microsoft\Windows\INetCache\Content.Word\LOGO ULBI - WIDE D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nggi WIdiya Purnama\AppData\Local\Microsoft\Windows\INetCache\Content.Word\LOGO ULBI - WIDE DARK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48359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638F9F88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17E81913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0428C433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2AFB936C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1053673C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6AAC29D5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UNIVERSITAS LOGISTIK &amp; BISNIS INTERNASIONAL</w:t>
      </w:r>
    </w:p>
    <w:p w14:paraId="69CDC3B1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  <w:sectPr w:rsidR="00344726">
          <w:headerReference w:type="first" r:id="rId10"/>
          <w:footerReference w:type="first" r:id="rId11"/>
          <w:pgSz w:w="11906" w:h="16838"/>
          <w:pgMar w:top="993" w:right="1440" w:bottom="1440" w:left="1701" w:header="720" w:footer="720" w:gutter="0"/>
          <w:pgNumType w:start="1"/>
          <w:cols w:space="720"/>
        </w:sectPr>
      </w:pPr>
      <w:r>
        <w:rPr>
          <w:b/>
          <w:color w:val="000000"/>
          <w:sz w:val="36"/>
          <w:szCs w:val="36"/>
        </w:rPr>
        <w:t>2022</w:t>
      </w:r>
    </w:p>
    <w:p w14:paraId="15D94C0C" w14:textId="77777777" w:rsidR="00344726" w:rsidRDefault="004F7B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VISI, MISI DAN TUJUAN UNIVERSITAS LOGISTIK &amp; BISNIS INTERNASIONAL (ULBI)</w:t>
      </w:r>
    </w:p>
    <w:p w14:paraId="4C472DAB" w14:textId="77777777" w:rsidR="00344726" w:rsidRDefault="004F7BD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Visi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61AFD3A2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/>
        </w:rPr>
      </w:pP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Tinggi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tahun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2026</w:t>
      </w:r>
    </w:p>
    <w:p w14:paraId="3156D7E0" w14:textId="77777777" w:rsidR="00344726" w:rsidRDefault="004F7BD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Misi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6BA48709" w14:textId="77777777" w:rsidR="00344726" w:rsidRDefault="004F7B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vokasi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Supply Chain Management, E-Commerce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lulusan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saing</w:t>
      </w:r>
      <w:proofErr w:type="spellEnd"/>
      <w:r>
        <w:rPr>
          <w:color w:val="000000"/>
        </w:rPr>
        <w:t xml:space="preserve"> global.</w:t>
      </w:r>
    </w:p>
    <w:p w14:paraId="21DD5C3B" w14:textId="77777777" w:rsidR="00344726" w:rsidRDefault="004F7B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</w:t>
      </w:r>
      <w:proofErr w:type="gramStart"/>
      <w:r>
        <w:rPr>
          <w:i/>
          <w:color w:val="000000"/>
        </w:rPr>
        <w:t>Commerce</w:t>
      </w:r>
      <w:r>
        <w:rPr>
          <w:color w:val="000000"/>
        </w:rPr>
        <w:t xml:space="preserve">  dan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keilmua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</w:p>
    <w:p w14:paraId="442815EE" w14:textId="77777777" w:rsidR="00344726" w:rsidRDefault="004F7B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pemanfaatan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.  </w:t>
      </w:r>
    </w:p>
    <w:p w14:paraId="50DE24C6" w14:textId="77777777" w:rsidR="00344726" w:rsidRDefault="004F7B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teori-teori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SCM,  E</w:t>
      </w:r>
      <w:proofErr w:type="gramEnd"/>
      <w:r>
        <w:rPr>
          <w:color w:val="000000"/>
        </w:rPr>
        <w:t xml:space="preserve">-Commerce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lain yang </w:t>
      </w:r>
      <w:proofErr w:type="spellStart"/>
      <w:r>
        <w:rPr>
          <w:color w:val="000000"/>
        </w:rPr>
        <w:t>inovatif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landasan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penetapan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. </w:t>
      </w:r>
    </w:p>
    <w:p w14:paraId="7535AD8C" w14:textId="77777777" w:rsidR="00344726" w:rsidRDefault="004F7B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pengokohan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jejaring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regional, dan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</w:p>
    <w:p w14:paraId="274FCA19" w14:textId="77777777" w:rsidR="00344726" w:rsidRDefault="004F7B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</w:t>
      </w:r>
      <w:proofErr w:type="gramStart"/>
      <w:r>
        <w:rPr>
          <w:i/>
          <w:color w:val="000000"/>
        </w:rPr>
        <w:t>non tuition</w:t>
      </w:r>
      <w:proofErr w:type="gramEnd"/>
      <w:r>
        <w:rPr>
          <w:i/>
          <w:color w:val="000000"/>
        </w:rPr>
        <w:t xml:space="preserve"> fee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optimalisasi</w:t>
      </w:r>
      <w:proofErr w:type="spellEnd"/>
      <w:r>
        <w:rPr>
          <w:color w:val="000000"/>
        </w:rPr>
        <w:t xml:space="preserve"> unit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keberadaan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, &amp;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>.</w:t>
      </w:r>
    </w:p>
    <w:p w14:paraId="3B08ECD6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</w:p>
    <w:p w14:paraId="607299B8" w14:textId="77777777" w:rsidR="00344726" w:rsidRDefault="004F7BD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278008BA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Membina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ilmuwan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pendidik</w:t>
      </w:r>
      <w:proofErr w:type="spellEnd"/>
      <w:proofErr w:type="gram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professional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kei</w:t>
      </w:r>
      <w:r>
        <w:rPr>
          <w:color w:val="000000"/>
        </w:rPr>
        <w:t>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bertaqwa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kebangsaan</w:t>
      </w:r>
      <w:proofErr w:type="spellEnd"/>
      <w:r>
        <w:rPr>
          <w:color w:val="000000"/>
        </w:rPr>
        <w:t xml:space="preserve">. </w:t>
      </w:r>
    </w:p>
    <w:p w14:paraId="75DB9C16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i/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menyebarluaskan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. </w:t>
      </w:r>
    </w:p>
    <w:p w14:paraId="04FFF401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</w:t>
      </w:r>
      <w:r>
        <w:rPr>
          <w:color w:val="000000"/>
        </w:rPr>
        <w:t>gembangan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kehidupan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kekuatan</w:t>
      </w:r>
      <w:proofErr w:type="spellEnd"/>
      <w:r>
        <w:rPr>
          <w:color w:val="000000"/>
        </w:rPr>
        <w:t xml:space="preserve"> moral yang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. </w:t>
      </w:r>
    </w:p>
    <w:p w14:paraId="6A406F27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religius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demokratis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bermartabat</w:t>
      </w:r>
      <w:proofErr w:type="spellEnd"/>
      <w:r>
        <w:rPr>
          <w:color w:val="000000"/>
        </w:rPr>
        <w:t xml:space="preserve">. </w:t>
      </w:r>
    </w:p>
    <w:p w14:paraId="44F50C20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Beroperasinya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 dan</w:t>
      </w:r>
      <w:r>
        <w:rPr>
          <w:color w:val="000000"/>
        </w:rPr>
        <w:t xml:space="preserve"> entrepreneur yang </w:t>
      </w: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dan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mencerminkan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2022. </w:t>
      </w:r>
    </w:p>
    <w:p w14:paraId="07DF031E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publikasi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 dan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</w:p>
    <w:p w14:paraId="1187410F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paten /HKI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supply chain management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 </w:t>
      </w:r>
    </w:p>
    <w:p w14:paraId="0CD7A7E8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kualitas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tahunnya</w:t>
      </w:r>
      <w:proofErr w:type="spellEnd"/>
      <w:r>
        <w:rPr>
          <w:color w:val="000000"/>
        </w:rPr>
        <w:t>.</w:t>
      </w:r>
    </w:p>
    <w:p w14:paraId="48511F63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lulusan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Abad 21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>.</w:t>
      </w:r>
    </w:p>
    <w:p w14:paraId="6B2DE3F7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gramStart"/>
      <w:r>
        <w:rPr>
          <w:i/>
          <w:color w:val="000000"/>
        </w:rPr>
        <w:t>non tuition</w:t>
      </w:r>
      <w:proofErr w:type="gramEnd"/>
      <w:r>
        <w:rPr>
          <w:i/>
          <w:color w:val="000000"/>
        </w:rPr>
        <w:t xml:space="preserve"> fee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</w:t>
      </w:r>
      <w:r>
        <w:rPr>
          <w:color w:val="000000"/>
        </w:rPr>
        <w:t>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, &amp;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unit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>.</w:t>
      </w:r>
    </w:p>
    <w:p w14:paraId="5A8F741D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IDUKA dan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>.</w:t>
      </w:r>
    </w:p>
    <w:p w14:paraId="4C666044" w14:textId="77777777" w:rsidR="00344726" w:rsidRDefault="004F7B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entrepreneurship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</w:t>
      </w:r>
      <w:r>
        <w:rPr>
          <w:color w:val="000000"/>
        </w:rPr>
        <w:t>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pusat-pusat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inkubasi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starup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</w:p>
    <w:p w14:paraId="0E87E17B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/>
        </w:rPr>
      </w:pPr>
    </w:p>
    <w:p w14:paraId="0DE1D7D2" w14:textId="77777777" w:rsidR="00344726" w:rsidRDefault="004F7B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DEFINISI ISTILAH</w:t>
      </w:r>
    </w:p>
    <w:p w14:paraId="2C21463E" w14:textId="77777777" w:rsidR="00344726" w:rsidRDefault="004F7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t>Standar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minimal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dan </w:t>
      </w:r>
      <w:proofErr w:type="spellStart"/>
      <w:r>
        <w:t>pelaporan</w:t>
      </w:r>
      <w:proofErr w:type="spellEnd"/>
      <w:r>
        <w:t>.</w:t>
      </w:r>
    </w:p>
    <w:p w14:paraId="13907FC9" w14:textId="77777777" w:rsidR="00344726" w:rsidRDefault="004F7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yang  </w:t>
      </w:r>
      <w:proofErr w:type="spellStart"/>
      <w:r>
        <w:rPr>
          <w:color w:val="000000"/>
        </w:rPr>
        <w:t>memenuhi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kaidah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otono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>.</w:t>
      </w:r>
    </w:p>
    <w:p w14:paraId="2982EB88" w14:textId="77777777" w:rsidR="00344726" w:rsidRDefault="004F7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Internal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didanai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anggaran</w:t>
      </w:r>
      <w:proofErr w:type="spellEnd"/>
      <w:r>
        <w:rPr>
          <w:color w:val="000000"/>
        </w:rPr>
        <w:t xml:space="preserve"> ULBI</w:t>
      </w:r>
    </w:p>
    <w:p w14:paraId="1E928C03" w14:textId="77777777" w:rsidR="00344726" w:rsidRDefault="004F7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dos</w:t>
      </w:r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didanai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Dikti</w:t>
      </w:r>
      <w:proofErr w:type="spellEnd"/>
      <w:r>
        <w:rPr>
          <w:color w:val="000000"/>
        </w:rPr>
        <w:t xml:space="preserve">, BP3IPTEK dan lain-lain. </w:t>
      </w:r>
    </w:p>
    <w:p w14:paraId="77120D21" w14:textId="77777777" w:rsidR="00344726" w:rsidRDefault="004F7B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RASIONALE STANDAR PROSES PENELITIAN</w:t>
      </w:r>
    </w:p>
    <w:p w14:paraId="0A8E941E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</w:t>
      </w:r>
      <w:proofErr w:type="spellEnd"/>
      <w:r>
        <w:rPr>
          <w:color w:val="000000"/>
        </w:rPr>
        <w:t xml:space="preserve"> ULBI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</w:t>
      </w:r>
      <w:r>
        <w:rPr>
          <w:color w:val="000000"/>
        </w:rPr>
        <w:t>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>, Supply Chain Management, E-</w:t>
      </w:r>
      <w:proofErr w:type="gramStart"/>
      <w:r>
        <w:rPr>
          <w:color w:val="000000"/>
        </w:rPr>
        <w:t>Commerce  dan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</w:t>
      </w:r>
      <w:r>
        <w:rPr>
          <w:color w:val="000000"/>
        </w:rPr>
        <w:t>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ULBI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RPIKK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pedoman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Pimpinan</w:t>
      </w:r>
      <w:proofErr w:type="spellEnd"/>
      <w:r>
        <w:rPr>
          <w:color w:val="000000"/>
        </w:rPr>
        <w:t xml:space="preserve"> ULBI,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kuantitas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Mengacu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pasal</w:t>
      </w:r>
      <w:proofErr w:type="spellEnd"/>
      <w:r>
        <w:rPr>
          <w:color w:val="000000"/>
        </w:rPr>
        <w:t xml:space="preserve"> 45 </w:t>
      </w:r>
      <w:proofErr w:type="spellStart"/>
      <w:r>
        <w:rPr>
          <w:color w:val="000000"/>
        </w:rPr>
        <w:t>Permenristek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Dikti</w:t>
      </w:r>
      <w:proofErr w:type="spellEnd"/>
      <w:r>
        <w:rPr>
          <w:color w:val="000000"/>
        </w:rPr>
        <w:t xml:space="preserve"> No 44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2015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Badan </w:t>
      </w:r>
      <w:proofErr w:type="spellStart"/>
      <w:r>
        <w:rPr>
          <w:color w:val="000000"/>
        </w:rPr>
        <w:t>Akreditasi</w:t>
      </w:r>
      <w:proofErr w:type="spellEnd"/>
      <w:r>
        <w:rPr>
          <w:color w:val="000000"/>
        </w:rPr>
        <w:t xml:space="preserve"> Nasional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Tinggi (BAN-PT)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</w:t>
      </w:r>
      <w:r>
        <w:rPr>
          <w:color w:val="000000"/>
        </w:rPr>
        <w:t>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>.</w:t>
      </w:r>
    </w:p>
    <w:p w14:paraId="1AD4F062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</w:p>
    <w:p w14:paraId="76169CE4" w14:textId="77777777" w:rsidR="00344726" w:rsidRDefault="004F7B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PERNYATAAN ISI STANDAR PROSES PENELITIAN</w:t>
      </w:r>
    </w:p>
    <w:p w14:paraId="5C8DC6FF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1" w:name="_heading=h.30j0zll" w:colFirst="0" w:colLast="0"/>
      <w:bookmarkEnd w:id="1"/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ULBI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>.</w:t>
      </w:r>
    </w:p>
    <w:p w14:paraId="4617FB54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(Dir-RPIKK)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monev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penelitian</w:t>
      </w:r>
      <w:proofErr w:type="spellEnd"/>
      <w:r>
        <w:rPr>
          <w:color w:val="000000"/>
        </w:rPr>
        <w:t>  dan</w:t>
      </w:r>
      <w:proofErr w:type="gramEnd"/>
      <w:r>
        <w:rPr>
          <w:color w:val="000000"/>
        </w:rPr>
        <w:t xml:space="preserve"> SOP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>.</w:t>
      </w:r>
    </w:p>
    <w:p w14:paraId="2111A56D" w14:textId="0143948F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(Dir-RPIKK) </w:t>
      </w:r>
      <w:proofErr w:type="spellStart"/>
      <w:r>
        <w:rPr>
          <w:color w:val="000000"/>
        </w:rPr>
        <w:t>memfasilitasi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 w:rsidR="00587D4E">
        <w:rPr>
          <w:color w:val="000000"/>
        </w:rPr>
        <w:t>.</w:t>
      </w:r>
    </w:p>
    <w:p w14:paraId="3D040D41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(Dir-RPIKK)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proposal,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eksternal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internal)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desk evaluation proposal dan </w:t>
      </w:r>
      <w:proofErr w:type="spellStart"/>
      <w:r>
        <w:rPr>
          <w:color w:val="000000"/>
        </w:rPr>
        <w:t>mengumumkan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pemenang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tahunnya</w:t>
      </w:r>
      <w:proofErr w:type="spellEnd"/>
      <w:r>
        <w:rPr>
          <w:color w:val="000000"/>
        </w:rPr>
        <w:t>.</w:t>
      </w:r>
    </w:p>
    <w:p w14:paraId="5F7D5B77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(Dir-RPIKK) </w:t>
      </w:r>
      <w:proofErr w:type="spellStart"/>
      <w:r>
        <w:rPr>
          <w:color w:val="000000"/>
        </w:rPr>
        <w:t>menyampaikan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ULBI dan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PSMS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>.</w:t>
      </w:r>
    </w:p>
    <w:p w14:paraId="672AD0CD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proofErr w:type="spellStart"/>
      <w:r>
        <w:lastRenderedPageBreak/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</w:t>
      </w:r>
      <w:r>
        <w:t>tandar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kenyamanan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>.</w:t>
      </w:r>
    </w:p>
    <w:p w14:paraId="3EE87BAC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mahas</w:t>
      </w:r>
      <w:r>
        <w:rPr>
          <w:color w:val="000000"/>
        </w:rPr>
        <w:t>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mengajukan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menandatangani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RPIKK, </w:t>
      </w:r>
      <w:proofErr w:type="spellStart"/>
      <w:r>
        <w:rPr>
          <w:color w:val="000000"/>
        </w:rPr>
        <w:t>mengunggah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kemajuan</w:t>
      </w:r>
      <w:proofErr w:type="spellEnd"/>
      <w:r>
        <w:rPr>
          <w:color w:val="000000"/>
        </w:rPr>
        <w:t xml:space="preserve"> 70%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monitoring 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monev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akhir</w:t>
      </w:r>
      <w:proofErr w:type="spellEnd"/>
      <w:r>
        <w:rPr>
          <w:color w:val="000000"/>
        </w:rPr>
        <w:t>  dan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keleng</w:t>
      </w:r>
      <w:r>
        <w:rPr>
          <w:color w:val="000000"/>
        </w:rPr>
        <w:t>kapannya</w:t>
      </w:r>
      <w:proofErr w:type="spellEnd"/>
      <w:r>
        <w:rPr>
          <w:color w:val="000000"/>
        </w:rPr>
        <w:t xml:space="preserve"> 100%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RPIKK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77DD54B7" w14:textId="77777777" w:rsidR="00344726" w:rsidRDefault="004F7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r>
        <w:rPr>
          <w:color w:val="000000"/>
        </w:rPr>
        <w:t xml:space="preserve">Reviewer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internal dan/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</w:t>
      </w:r>
      <w:r>
        <w:rPr>
          <w:color w:val="000000"/>
        </w:rPr>
        <w:t xml:space="preserve">KK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0107EB84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27E2E452" w14:textId="77777777" w:rsidR="00344726" w:rsidRDefault="004F7B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STRATEGI PENCAPAIAN STANDAR PROSES PENELITIAN</w:t>
      </w:r>
    </w:p>
    <w:p w14:paraId="465DEE90" w14:textId="77777777" w:rsidR="00344726" w:rsidRDefault="004F7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Mensosialisasikan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berlaku</w:t>
      </w:r>
      <w:proofErr w:type="spellEnd"/>
    </w:p>
    <w:p w14:paraId="1C95E850" w14:textId="77777777" w:rsidR="00344726" w:rsidRDefault="004F7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workshop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penelitian</w:t>
      </w:r>
      <w:proofErr w:type="spellEnd"/>
    </w:p>
    <w:p w14:paraId="3DFE06B3" w14:textId="77777777" w:rsidR="00344726" w:rsidRDefault="004F7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Mendokumentasikan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 </w:t>
      </w:r>
    </w:p>
    <w:p w14:paraId="5553DF5C" w14:textId="77777777" w:rsidR="00344726" w:rsidRDefault="004F7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0DACC090" w14:textId="77777777" w:rsidR="00344726" w:rsidRDefault="004F7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monitoring yang </w:t>
      </w:r>
      <w:proofErr w:type="spellStart"/>
      <w:r>
        <w:rPr>
          <w:color w:val="000000"/>
        </w:rPr>
        <w:t>terjadwal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sistematis</w:t>
      </w:r>
      <w:proofErr w:type="spellEnd"/>
    </w:p>
    <w:p w14:paraId="37641C9F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14:paraId="16AABE1B" w14:textId="77777777" w:rsidR="00344726" w:rsidRDefault="004F7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INDIKATOR PENCAPAIAN STANDAR PROSES PENELITIAN</w:t>
      </w:r>
    </w:p>
    <w:p w14:paraId="2F4BCA15" w14:textId="77777777" w:rsidR="00344726" w:rsidRDefault="004F7B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mencakup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program,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indikator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>.</w:t>
      </w:r>
    </w:p>
    <w:p w14:paraId="09944AEB" w14:textId="77777777" w:rsidR="00344726" w:rsidRDefault="004F7B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</w:p>
    <w:p w14:paraId="3C5DB491" w14:textId="21694517" w:rsidR="00637155" w:rsidRDefault="006371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worskhsop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internal dan/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eksternal</w:t>
      </w:r>
      <w:bookmarkStart w:id="2" w:name="_GoBack"/>
      <w:bookmarkEnd w:id="2"/>
    </w:p>
    <w:p w14:paraId="190AD132" w14:textId="26CA5CFA" w:rsidR="00344726" w:rsidRDefault="004F7B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proposal,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kemajuan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diikut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>.</w:t>
      </w:r>
    </w:p>
    <w:p w14:paraId="4F082B01" w14:textId="77777777" w:rsidR="00344726" w:rsidRDefault="004F7B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>.</w:t>
      </w:r>
    </w:p>
    <w:p w14:paraId="076695EA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b/>
          <w:color w:val="000000"/>
        </w:rPr>
        <w:t>7. PIHAK YANG TERLIBAT DALAM PEMENUHAN STANDAR</w:t>
      </w:r>
    </w:p>
    <w:p w14:paraId="0591EF9A" w14:textId="77777777" w:rsidR="00344726" w:rsidRDefault="004F7B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ULBI</w:t>
      </w:r>
    </w:p>
    <w:p w14:paraId="4AA1A642" w14:textId="77777777" w:rsidR="00344726" w:rsidRDefault="004F7B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bookmarkStart w:id="3" w:name="_heading=h.1fob9te" w:colFirst="0" w:colLast="0"/>
      <w:bookmarkEnd w:id="3"/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(Dir-RPIKK)</w:t>
      </w:r>
    </w:p>
    <w:p w14:paraId="36741E79" w14:textId="77777777" w:rsidR="00344726" w:rsidRDefault="004F7B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r>
        <w:rPr>
          <w:color w:val="000000"/>
        </w:rPr>
        <w:t>Review</w:t>
      </w:r>
      <w:r>
        <w:rPr>
          <w:color w:val="000000"/>
        </w:rPr>
        <w:t xml:space="preserve">er </w:t>
      </w:r>
      <w:proofErr w:type="spellStart"/>
      <w:r>
        <w:rPr>
          <w:color w:val="000000"/>
        </w:rPr>
        <w:t>penelitian</w:t>
      </w:r>
      <w:proofErr w:type="spellEnd"/>
    </w:p>
    <w:p w14:paraId="1FC1E266" w14:textId="77777777" w:rsidR="00344726" w:rsidRDefault="004F7B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Dosen</w:t>
      </w:r>
      <w:proofErr w:type="spellEnd"/>
    </w:p>
    <w:p w14:paraId="6C171FBF" w14:textId="77777777" w:rsidR="00344726" w:rsidRDefault="004F7B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</w:p>
    <w:p w14:paraId="4E29C12C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</w:p>
    <w:p w14:paraId="32E48648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b/>
          <w:color w:val="000000"/>
        </w:rPr>
        <w:t>8. DOKUMEN TERKAIT PELAKSANAAN STANDAR</w:t>
      </w:r>
    </w:p>
    <w:p w14:paraId="1DC3E949" w14:textId="77777777" w:rsidR="006C02A3" w:rsidRDefault="006C02A3" w:rsidP="006C02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Panduan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Internal</w:t>
      </w:r>
    </w:p>
    <w:p w14:paraId="7FD96816" w14:textId="77777777" w:rsidR="006C02A3" w:rsidRDefault="006C02A3" w:rsidP="006C02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Panduan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</w:p>
    <w:p w14:paraId="0826269C" w14:textId="77777777" w:rsidR="00344726" w:rsidRDefault="004F7B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SOP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proposal </w:t>
      </w:r>
      <w:proofErr w:type="spellStart"/>
      <w:r>
        <w:rPr>
          <w:color w:val="000000"/>
        </w:rPr>
        <w:t>penelitian</w:t>
      </w:r>
      <w:proofErr w:type="spellEnd"/>
    </w:p>
    <w:p w14:paraId="3AA3E5E5" w14:textId="77777777" w:rsidR="00344726" w:rsidRDefault="004F7B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SOP Desk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proposal</w:t>
      </w:r>
    </w:p>
    <w:p w14:paraId="3CB75703" w14:textId="77777777" w:rsidR="00344726" w:rsidRDefault="004F7B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SOP </w:t>
      </w:r>
      <w:proofErr w:type="spellStart"/>
      <w:r>
        <w:rPr>
          <w:color w:val="000000"/>
        </w:rPr>
        <w:t>monev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6091D93E" w14:textId="77777777" w:rsidR="00344726" w:rsidRDefault="004F7B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5648007B" w14:textId="77777777" w:rsidR="00344726" w:rsidRDefault="003447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p w14:paraId="23474A2C" w14:textId="77777777" w:rsidR="00344726" w:rsidRDefault="004F7B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9. REFERENSI</w:t>
      </w:r>
    </w:p>
    <w:p w14:paraId="00F54B83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4" w:name="_heading=h.3znysh7" w:colFirst="0" w:colLast="0"/>
      <w:bookmarkEnd w:id="4"/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No. 12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2012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Pendidikan Tinggi</w:t>
      </w:r>
    </w:p>
    <w:p w14:paraId="5D5E85AE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RI No. 19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2005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Nasional Pendidikan.</w:t>
      </w:r>
    </w:p>
    <w:p w14:paraId="0E3B3AAF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RI No. 7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2010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Pendidikan.</w:t>
      </w:r>
    </w:p>
    <w:p w14:paraId="1146FBAE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Permendikbud</w:t>
      </w:r>
      <w:proofErr w:type="spellEnd"/>
      <w:r>
        <w:rPr>
          <w:color w:val="000000"/>
        </w:rPr>
        <w:t>  No.</w:t>
      </w:r>
      <w:proofErr w:type="gramEnd"/>
      <w:r>
        <w:rPr>
          <w:color w:val="000000"/>
        </w:rPr>
        <w:t xml:space="preserve"> 3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2020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Nasional Pendidikan Tinggi</w:t>
      </w:r>
    </w:p>
    <w:p w14:paraId="6B320D36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Permenrist</w:t>
      </w:r>
      <w:r>
        <w:rPr>
          <w:color w:val="000000"/>
        </w:rPr>
        <w:t>ekdikti</w:t>
      </w:r>
      <w:proofErr w:type="spellEnd"/>
      <w:r>
        <w:rPr>
          <w:color w:val="000000"/>
        </w:rPr>
        <w:t xml:space="preserve"> No. 62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2016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Penjaminan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Mutu</w:t>
      </w:r>
      <w:proofErr w:type="spellEnd"/>
      <w:r>
        <w:rPr>
          <w:color w:val="000000"/>
        </w:rPr>
        <w:t xml:space="preserve"> Pendidikan Tinggi</w:t>
      </w:r>
    </w:p>
    <w:p w14:paraId="7A31C9FF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edisi</w:t>
      </w:r>
      <w:proofErr w:type="spellEnd"/>
      <w:r>
        <w:rPr>
          <w:color w:val="000000"/>
        </w:rPr>
        <w:t xml:space="preserve"> XIII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Pedoman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pada Masyarakat,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Jenderal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, Kementerian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>, dan Pendidikan Tinggi</w:t>
      </w:r>
    </w:p>
    <w:p w14:paraId="631F45BA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Masyarakat oleh LPPM.</w:t>
      </w:r>
    </w:p>
    <w:p w14:paraId="41C2E7C8" w14:textId="77777777" w:rsidR="00344726" w:rsidRDefault="004F7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Permenristekdikti</w:t>
      </w:r>
      <w:proofErr w:type="spellEnd"/>
      <w:r>
        <w:rPr>
          <w:color w:val="000000"/>
        </w:rPr>
        <w:t xml:space="preserve"> RI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50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2018</w:t>
      </w:r>
    </w:p>
    <w:sectPr w:rsidR="00344726">
      <w:pgSz w:w="11906" w:h="16838"/>
      <w:pgMar w:top="1440" w:right="1440" w:bottom="144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393B0" w14:textId="77777777" w:rsidR="004F7BDE" w:rsidRDefault="004F7BDE">
      <w:pPr>
        <w:spacing w:after="0" w:line="240" w:lineRule="auto"/>
      </w:pPr>
      <w:r>
        <w:separator/>
      </w:r>
    </w:p>
  </w:endnote>
  <w:endnote w:type="continuationSeparator" w:id="0">
    <w:p w14:paraId="4A153708" w14:textId="77777777" w:rsidR="004F7BDE" w:rsidRDefault="004F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338D4" w14:textId="77777777" w:rsidR="00344726" w:rsidRDefault="0034472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941"/>
      <w:gridCol w:w="1814"/>
    </w:tblGrid>
    <w:tr w:rsidR="00344726" w14:paraId="097FED5F" w14:textId="77777777">
      <w:tc>
        <w:tcPr>
          <w:tcW w:w="0" w:type="auto"/>
        </w:tcPr>
        <w:p w14:paraId="0F87D0CB" w14:textId="77777777" w:rsidR="00344726" w:rsidRDefault="004F7B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STANDAR …………</w:t>
          </w:r>
          <w:proofErr w:type="gramStart"/>
          <w:r>
            <w:rPr>
              <w:color w:val="000000"/>
            </w:rPr>
            <w:t>…..</w:t>
          </w:r>
          <w:proofErr w:type="gramEnd"/>
          <w:r>
            <w:rPr>
              <w:color w:val="000000"/>
            </w:rPr>
            <w:t xml:space="preserve"> ULBI</w:t>
          </w:r>
        </w:p>
      </w:tc>
      <w:tc>
        <w:tcPr>
          <w:tcW w:w="0" w:type="auto"/>
        </w:tcPr>
        <w:p w14:paraId="6861C2ED" w14:textId="77777777" w:rsidR="00344726" w:rsidRDefault="004F7B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HAL </w:t>
          </w:r>
        </w:p>
      </w:tc>
    </w:tr>
  </w:tbl>
  <w:p w14:paraId="0BC1FEE0" w14:textId="77777777" w:rsidR="00344726" w:rsidRDefault="003447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9A1F" w14:textId="77777777" w:rsidR="004F7BDE" w:rsidRDefault="004F7BDE">
      <w:pPr>
        <w:spacing w:after="0" w:line="240" w:lineRule="auto"/>
      </w:pPr>
      <w:r>
        <w:separator/>
      </w:r>
    </w:p>
  </w:footnote>
  <w:footnote w:type="continuationSeparator" w:id="0">
    <w:p w14:paraId="658BE116" w14:textId="77777777" w:rsidR="004F7BDE" w:rsidRDefault="004F7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D1472" w14:textId="77777777" w:rsidR="00344726" w:rsidRDefault="003447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4376264A" w14:textId="77777777" w:rsidR="00344726" w:rsidRDefault="003447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B95"/>
    <w:multiLevelType w:val="multilevel"/>
    <w:tmpl w:val="C52CB4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B04FC"/>
    <w:multiLevelType w:val="multilevel"/>
    <w:tmpl w:val="D63C3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0105CF3"/>
    <w:multiLevelType w:val="multilevel"/>
    <w:tmpl w:val="35F8E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26233A2"/>
    <w:multiLevelType w:val="multilevel"/>
    <w:tmpl w:val="22962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2D91A5C"/>
    <w:multiLevelType w:val="multilevel"/>
    <w:tmpl w:val="BE8CB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22E61593"/>
    <w:multiLevelType w:val="multilevel"/>
    <w:tmpl w:val="B81A7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31FF365B"/>
    <w:multiLevelType w:val="multilevel"/>
    <w:tmpl w:val="DA4E5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372DB2"/>
    <w:multiLevelType w:val="multilevel"/>
    <w:tmpl w:val="9954B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eastAsia="Calibri" w:hAnsi="Calibri" w:cs="Calibri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E2DAD"/>
    <w:multiLevelType w:val="multilevel"/>
    <w:tmpl w:val="23E0B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46FE5368"/>
    <w:multiLevelType w:val="multilevel"/>
    <w:tmpl w:val="FA92642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930AB0"/>
    <w:multiLevelType w:val="multilevel"/>
    <w:tmpl w:val="42E4B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26"/>
    <w:rsid w:val="00344726"/>
    <w:rsid w:val="004F7BDE"/>
    <w:rsid w:val="00587D4E"/>
    <w:rsid w:val="00637155"/>
    <w:rsid w:val="00642F23"/>
    <w:rsid w:val="006C02A3"/>
    <w:rsid w:val="00F5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DD70"/>
  <w15:docId w15:val="{02A25504-342A-4C91-98D1-D0D2490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customStyle="1" w:styleId="Default">
    <w:name w:val="Default"/>
    <w:rsid w:val="00181D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NormalWeb">
    <w:name w:val="Normal (Web)"/>
    <w:basedOn w:val="Normal"/>
    <w:uiPriority w:val="99"/>
    <w:semiHidden/>
    <w:unhideWhenUsed/>
    <w:rsid w:val="0002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gkfIHHkq4zBXYWUVWCGglFmVw==">AMUW2mXegz7d8nO//1hhByp8eWKNWm6ndxSC+OU/nDYSgPTFdl3wGX7BPLa3MncX+ZoiV8H7S6/qXDjk6z5DdcKv31rCF3VZe+fDwI17Aky+xfmF7Opo5gxQgNPyLJ4yUgpkVQ0oqbt35N8Ir2G4mDyXguLFF0CzqPkenOwJM0ttDFtTubkk8DU=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WIdiya Purnama</dc:creator>
  <cp:lastModifiedBy>Supono Syafiq</cp:lastModifiedBy>
  <cp:revision>6</cp:revision>
  <dcterms:created xsi:type="dcterms:W3CDTF">2022-10-25T01:45:00Z</dcterms:created>
  <dcterms:modified xsi:type="dcterms:W3CDTF">2022-12-06T22:47:00Z</dcterms:modified>
</cp:coreProperties>
</file>