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PENDANAAN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DAN PEMBIAYAAN PENELITIAN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2027</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 </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Supply Chain Management, E-Commerce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Supply Chain Management, E-Commerce nasional. </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non tuition fee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Supply Chain Management, E-Commerce,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Supply Chain Management, E-Commerce, ekonomi, sosial, dan keilmuan lainya. c. Mendukung pengembangan kehidupan politik, ekonomi, sosial dan budaya bangsa dengan berperan sebagai kekuatan moral yang mandiri. </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supply chain management dan keilmuan lainnya yang relevan dengan kebutuhan pemerintah dan industri dari tahun ke tahun. </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 </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 </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non tuition fee yang dihasilkan dari pengelolaan pengelolaan Direktorat Riset, Inovasi, Kemitraan, &amp; Kewirausahaan dan unit usaha. k. Meningkatnya kerja sama antar perguruan tinggi dalam dan luar negeri serta antara perguruan tinggi dengan IDUKA dan pemerintah. </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entrepreneurship mahasiswa dan mengembangkan pusat-pusat inkubasi bisnis/</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A">
      <w:pPr>
        <w:numPr>
          <w:ilvl w:val="0"/>
          <w:numId w:val="1"/>
        </w:numPr>
        <w:spacing w:after="0" w:line="240" w:lineRule="auto"/>
        <w:ind w:left="1080" w:hanging="360"/>
        <w:jc w:val="both"/>
        <w:rPr>
          <w:color w:val="000000"/>
        </w:rPr>
      </w:pPr>
      <w:r w:rsidDel="00000000" w:rsidR="00000000" w:rsidRPr="00000000">
        <w:rPr>
          <w:color w:val="000000"/>
          <w:rtl w:val="0"/>
        </w:rPr>
        <w:t xml:space="preserve">Standar pendanaan dan pembiayaan penelitian merupakan kriteria minimal sumber dan mekanisme pendanaan dan pembiayaan penelitian.</w:t>
      </w:r>
    </w:p>
    <w:p w:rsidR="00000000" w:rsidDel="00000000" w:rsidP="00000000" w:rsidRDefault="00000000" w:rsidRPr="00000000" w14:paraId="0000004B">
      <w:pPr>
        <w:numPr>
          <w:ilvl w:val="0"/>
          <w:numId w:val="1"/>
        </w:numPr>
        <w:spacing w:after="0" w:line="240" w:lineRule="auto"/>
        <w:ind w:left="1080" w:hanging="360"/>
        <w:jc w:val="both"/>
        <w:rPr>
          <w:color w:val="000000"/>
        </w:rPr>
      </w:pPr>
      <w:r w:rsidDel="00000000" w:rsidR="00000000" w:rsidRPr="00000000">
        <w:rPr>
          <w:color w:val="000000"/>
          <w:rtl w:val="0"/>
        </w:rPr>
        <w:t xml:space="preserve">DPD (dana penelitian Dosen) adalah dana yang </w:t>
      </w:r>
      <w:r w:rsidDel="00000000" w:rsidR="00000000" w:rsidRPr="00000000">
        <w:rPr>
          <w:rtl w:val="0"/>
        </w:rPr>
        <w:t xml:space="preserve">dikeluarkan</w:t>
      </w:r>
      <w:r w:rsidDel="00000000" w:rsidR="00000000" w:rsidRPr="00000000">
        <w:rPr>
          <w:color w:val="000000"/>
          <w:rtl w:val="0"/>
        </w:rPr>
        <w:t xml:space="preserve"> untuk melakukan penelitian setiap dosen di Universitas Logistik dan Bisnis Internasional (ULBI)</w:t>
      </w:r>
    </w:p>
    <w:p w:rsidR="00000000" w:rsidDel="00000000" w:rsidP="00000000" w:rsidRDefault="00000000" w:rsidRPr="00000000" w14:paraId="0000004C">
      <w:pPr>
        <w:numPr>
          <w:ilvl w:val="0"/>
          <w:numId w:val="1"/>
        </w:numPr>
        <w:spacing w:after="0" w:line="240" w:lineRule="auto"/>
        <w:ind w:left="1080" w:hanging="360"/>
        <w:jc w:val="both"/>
        <w:rPr>
          <w:color w:val="000000"/>
        </w:rPr>
      </w:pPr>
      <w:r w:rsidDel="00000000" w:rsidR="00000000" w:rsidRPr="00000000">
        <w:rPr>
          <w:color w:val="000000"/>
          <w:rtl w:val="0"/>
        </w:rPr>
        <w:t xml:space="preserve">Dana penelitian internal adalah dana penelitian yang berasal dari anggaran Universitas Logistik dan Bisnis Internasional (ULBI)</w:t>
      </w:r>
    </w:p>
    <w:p w:rsidR="00000000" w:rsidDel="00000000" w:rsidP="00000000" w:rsidRDefault="00000000" w:rsidRPr="00000000" w14:paraId="0000004D">
      <w:pPr>
        <w:numPr>
          <w:ilvl w:val="0"/>
          <w:numId w:val="1"/>
        </w:numPr>
        <w:spacing w:after="0" w:line="240" w:lineRule="auto"/>
        <w:ind w:left="1080" w:hanging="360"/>
        <w:jc w:val="both"/>
        <w:rPr>
          <w:color w:val="000000"/>
        </w:rPr>
      </w:pPr>
      <w:r w:rsidDel="00000000" w:rsidR="00000000" w:rsidRPr="00000000">
        <w:rPr>
          <w:color w:val="000000"/>
          <w:rtl w:val="0"/>
        </w:rPr>
        <w:t xml:space="preserve">Dana penelitian eksternal adalah dana penelitian yang diperoleh melalui hibah penelitian dengan sumber pendanaan dari luar ULBI antara lain Kemenristekdikti, mitra, BP3IPTEK, dan lain-lain.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Manajemen penelitian adalah kegiatan yang terdiri dari seleksi proposal, pemantauan dan evaluasi, pelaporan penelitian, dan diseminasi hasil penelitian.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PENDANAAN DAN PEMBIAYAAN PENELITIAN</w:t>
      </w:r>
    </w:p>
    <w:p w:rsidR="00000000" w:rsidDel="00000000" w:rsidP="00000000" w:rsidRDefault="00000000" w:rsidRPr="00000000" w14:paraId="00000051">
      <w:pPr>
        <w:spacing w:after="0" w:line="240" w:lineRule="auto"/>
        <w:ind w:left="283.46456692913375" w:firstLine="0"/>
        <w:jc w:val="both"/>
        <w:rPr>
          <w:color w:val="000000"/>
        </w:rPr>
      </w:pPr>
      <w:r w:rsidDel="00000000" w:rsidR="00000000" w:rsidRPr="00000000">
        <w:rPr>
          <w:color w:val="000000"/>
          <w:rtl w:val="0"/>
        </w:rPr>
        <w:t xml:space="preserve">Misi ULBI menyebutkan bahwa ULBI memiliki misi melaksanakan penelitian untuk memecahkan permasalahan nasional, mengembangkan iptek dan menghasilkan inovasi yang relevan dan  dibutuhkan industri di bidang bisnis, logistik dan </w:t>
      </w:r>
      <w:r w:rsidDel="00000000" w:rsidR="00000000" w:rsidRPr="00000000">
        <w:rPr>
          <w:i w:val="1"/>
          <w:color w:val="000000"/>
          <w:rtl w:val="0"/>
        </w:rPr>
        <w:t xml:space="preserve">supply chain management</w:t>
      </w:r>
      <w:r w:rsidDel="00000000" w:rsidR="00000000" w:rsidRPr="00000000">
        <w:rPr>
          <w:color w:val="000000"/>
          <w:rtl w:val="0"/>
        </w:rPr>
        <w:t xml:space="preserve">, serta keilmuan lainnya yang bertaraf nasional maupun internasional. </w:t>
      </w:r>
    </w:p>
    <w:p w:rsidR="00000000" w:rsidDel="00000000" w:rsidP="00000000" w:rsidRDefault="00000000" w:rsidRPr="00000000" w14:paraId="00000052">
      <w:pPr>
        <w:spacing w:after="0" w:line="240" w:lineRule="auto"/>
        <w:ind w:left="283.46456692913375" w:firstLine="0"/>
        <w:jc w:val="both"/>
        <w:rPr>
          <w:color w:val="000000"/>
        </w:rPr>
      </w:pPr>
      <w:r w:rsidDel="00000000" w:rsidR="00000000" w:rsidRPr="00000000">
        <w:rPr>
          <w:color w:val="000000"/>
          <w:rtl w:val="0"/>
        </w:rPr>
        <w:t xml:space="preserve">Maka Direktorat Riset Pengabdian Inovasi Kewirausahaan dan Kemitraan (RPIKK) dibentuk untuk mengelola, mengkoordinasikan, memfasilitasi, menyediakan pendanaan serta sarana prasarana yang memadai untuk mendukung penelitian dan pengabdian kepada masyarakat (PkM). Untuk mengetahui peningkatan kualitas maupun kuantitas penelitian dan PkM diperlukan adanya standar tertentu sebagai dasar evaluasi maupun pengembangan lebih lanjut. Dengan pertimbangan hal-hal tersebut, maka ULBI melalui Direktorat RPIKK menetapkan menetapkan standar penelitian dan PkM yang akan menjadi pedoman Pimpinan ULBI, Fakultas, Ketua Program Studi, Dosen dan Mahasiswa dalam peningkatan kualitas dan kuantitas penelitian dan PkM. Mengacu kepada pasal 45 Permendikbud No 3 tahun 2020 serta matriks penilaian standar Badan Akreditasi Nasional Perguruan Tinggi (BAN-PT) untuk standar terkait.</w:t>
      </w:r>
    </w:p>
    <w:p w:rsidR="00000000" w:rsidDel="00000000" w:rsidP="00000000" w:rsidRDefault="00000000" w:rsidRPr="00000000" w14:paraId="00000053">
      <w:pPr>
        <w:spacing w:after="0" w:line="240" w:lineRule="auto"/>
        <w:jc w:val="both"/>
        <w:rPr>
          <w:color w:val="0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PENDANAAN DAN PEMBIAYAAN PENELITIAN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UPPS memiliki  (DPD) dana penelitian per dosen per tahun ≥ 6 juta.</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UPPS melaksanakan realisasi investasi sumber dana manusia dan sarana prasarana untuk memenuhi kebutuhan akan penyelenggaraan program penelitian melalui RKA setiap tahunnya.</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Wakil Rektor III dan Direktorat RPIKK  wajib menyediakan dana untuk membiayai manajemen penelitian pada setiap tahun pelaksanaan penelitian.</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 dan Kabag PPM membuat mekanisme pendanaan dan pembiayaan penelitian agar sesuai ketentuan yang berlaku yang diperbaharui setiap tahun</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 dan Kabag PPM menyampaikan laporan kegiatan penelitian  kepada Rektor pada setiap akhir tahun.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PENDANAAN DAN PEMBIAYAAN PENELITIAN</w:t>
      </w:r>
    </w:p>
    <w:p w:rsidR="00000000" w:rsidDel="00000000" w:rsidP="00000000" w:rsidRDefault="00000000" w:rsidRPr="00000000" w14:paraId="0000005E">
      <w:pPr>
        <w:numPr>
          <w:ilvl w:val="0"/>
          <w:numId w:val="2"/>
        </w:numPr>
        <w:spacing w:after="0" w:line="240" w:lineRule="auto"/>
        <w:ind w:left="1134" w:hanging="360"/>
        <w:jc w:val="both"/>
        <w:rPr>
          <w:color w:val="000000"/>
        </w:rPr>
      </w:pPr>
      <w:r w:rsidDel="00000000" w:rsidR="00000000" w:rsidRPr="00000000">
        <w:rPr>
          <w:color w:val="000000"/>
          <w:rtl w:val="0"/>
        </w:rPr>
        <w:t xml:space="preserve">Melakukan sosialisasi pendanaan dan pembiayaan kepada seluruh civitas akademika sesuai peraturan menteri keuangan.</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Menyiapkan mekanisme pendanaan dan pembiayaan penelitian serta mekanisme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PENDANAAN DAN PEMBIAYAAN PENELITIAN</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Dana penelitian DTPS/ dosen /tahun ≥10 juta</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 tentang Penerima penelitian Internal selama 3 tahun terakhir</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w:t>
      </w:r>
      <w:r w:rsidDel="00000000" w:rsidR="00000000" w:rsidRPr="00000000">
        <w:rPr>
          <w:i w:val="1"/>
          <w:rtl w:val="0"/>
        </w:rPr>
        <w:t xml:space="preserve">roadmap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penelitian Direktorat RPIKK</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penelitian ULBI</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Terdapat monitoring pendanaan dan pembiayaan penelitian dalam bentuk desk evaluasi proposal dan monitoring evaluasi kegiatan penelitian yang melibatkan reviewer internal dan eksternal.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3</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Bagian Penelitian dan Pengabdian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strategis penelitian ULBI </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Panduan penelitian internal</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Panduan penelitian hibah Dikti edisi XIII</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No. 12 Tahun 2012 Tentang Pendidikan Tinggi</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RI No. 7 Tahun 2010 Tentang Pengelolaan dan Penyelenggaraan Pendidikan.</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 3 Tahun 2020 tentang Standar Nasional Pendidikan Tinggi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edisi XIII mengenai Pedoman Penelitian dan Pengabdian pada Masyarakat, Direktorat Jenderal Penguatan Riset dan Pengembangan, Kementerian Riset, Teknologi, dan Pendidikan Tinggi</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Strategis Penelitian dan Pengabdian Kepada Masyarakat Direktorat</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6E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Sarjana Terapan</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6D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Diploma tiga.</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decimal"/>
      <w:lvlText w:val="%1."/>
      <w:lvlJc w:val="left"/>
      <w:pPr>
        <w:ind w:left="644" w:hanging="359.99999999999994"/>
      </w:pPr>
      <w:rPr/>
    </w:lvl>
    <w:lvl w:ilvl="1">
      <w:start w:val="1"/>
      <w:numFmt w:val="decimal"/>
      <w:lvlText w:val="%1.%2"/>
      <w:lvlJc w:val="left"/>
      <w:pPr>
        <w:ind w:left="644" w:hanging="359.99999999999994"/>
      </w:pPr>
      <w:rPr/>
    </w:lvl>
    <w:lvl w:ilvl="2">
      <w:start w:val="1"/>
      <w:numFmt w:val="decimal"/>
      <w:lvlText w:val="%1.%2.%3"/>
      <w:lvlJc w:val="left"/>
      <w:pPr>
        <w:ind w:left="1004" w:hanging="720"/>
      </w:pPr>
      <w:rPr/>
    </w:lvl>
    <w:lvl w:ilvl="3">
      <w:start w:val="1"/>
      <w:numFmt w:val="decimal"/>
      <w:lvlText w:val="%1.%2.%3.%4"/>
      <w:lvlJc w:val="left"/>
      <w:pPr>
        <w:ind w:left="1004" w:hanging="720"/>
      </w:pPr>
      <w:rPr/>
    </w:lvl>
    <w:lvl w:ilvl="4">
      <w:start w:val="1"/>
      <w:numFmt w:val="decimal"/>
      <w:lvlText w:val="%1.%2.%3.%4.%5"/>
      <w:lvlJc w:val="left"/>
      <w:pPr>
        <w:ind w:left="1364" w:hanging="1080"/>
      </w:pPr>
      <w:rPr/>
    </w:lvl>
    <w:lvl w:ilvl="5">
      <w:start w:val="1"/>
      <w:numFmt w:val="decimal"/>
      <w:lvlText w:val="%1.%2.%3.%4.%5.%6"/>
      <w:lvlJc w:val="left"/>
      <w:pPr>
        <w:ind w:left="1364" w:hanging="1080"/>
      </w:pPr>
      <w:rPr/>
    </w:lvl>
    <w:lvl w:ilvl="6">
      <w:start w:val="1"/>
      <w:numFmt w:val="decimal"/>
      <w:lvlText w:val="%1.%2.%3.%4.%5.%6.%7"/>
      <w:lvlJc w:val="left"/>
      <w:pPr>
        <w:ind w:left="1724" w:hanging="1440"/>
      </w:pPr>
      <w:rPr/>
    </w:lvl>
    <w:lvl w:ilvl="7">
      <w:start w:val="1"/>
      <w:numFmt w:val="decimal"/>
      <w:lvlText w:val="%1.%2.%3.%4.%5.%6.%7.%8"/>
      <w:lvlJc w:val="left"/>
      <w:pPr>
        <w:ind w:left="1724" w:hanging="1440"/>
      </w:pPr>
      <w:rPr/>
    </w:lvl>
    <w:lvl w:ilvl="8">
      <w:start w:val="1"/>
      <w:numFmt w:val="decimal"/>
      <w:lvlText w:val="%1.%2.%3.%4.%5.%6.%7.%8.%9"/>
      <w:lvlJc w:val="left"/>
      <w:pPr>
        <w:ind w:left="2084" w:hanging="1800"/>
      </w:pPr>
      <w:rPr/>
    </w:lvl>
  </w:abstractNum>
  <w:abstractNum w:abstractNumId="3">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4">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134" w:hanging="360"/>
      </w:pPr>
      <w:rPr/>
    </w:lvl>
    <w:lvl w:ilvl="1">
      <w:start w:val="1"/>
      <w:numFmt w:val="lowerLetter"/>
      <w:lvlText w:val="%2."/>
      <w:lvlJc w:val="left"/>
      <w:pPr>
        <w:ind w:left="1854" w:hanging="360"/>
      </w:pPr>
      <w:rPr/>
    </w:lvl>
    <w:lvl w:ilvl="2">
      <w:start w:val="1"/>
      <w:numFmt w:val="lowerRoman"/>
      <w:lvlText w:val="%3."/>
      <w:lvlJc w:val="right"/>
      <w:pPr>
        <w:ind w:left="2574" w:hanging="180"/>
      </w:pPr>
      <w:rPr/>
    </w:lvl>
    <w:lvl w:ilvl="3">
      <w:start w:val="1"/>
      <w:numFmt w:val="decimal"/>
      <w:lvlText w:val="%4."/>
      <w:lvlJc w:val="left"/>
      <w:pPr>
        <w:ind w:left="3294" w:hanging="360"/>
      </w:pPr>
      <w:rPr/>
    </w:lvl>
    <w:lvl w:ilvl="4">
      <w:start w:val="1"/>
      <w:numFmt w:val="lowerLetter"/>
      <w:lvlText w:val="%5."/>
      <w:lvlJc w:val="left"/>
      <w:pPr>
        <w:ind w:left="4014" w:hanging="360"/>
      </w:pPr>
      <w:rPr/>
    </w:lvl>
    <w:lvl w:ilvl="5">
      <w:start w:val="1"/>
      <w:numFmt w:val="lowerRoman"/>
      <w:lvlText w:val="%6."/>
      <w:lvlJc w:val="right"/>
      <w:pPr>
        <w:ind w:left="4734" w:hanging="180"/>
      </w:pPr>
      <w:rPr/>
    </w:lvl>
    <w:lvl w:ilvl="6">
      <w:start w:val="1"/>
      <w:numFmt w:val="decimal"/>
      <w:lvlText w:val="%7."/>
      <w:lvlJc w:val="left"/>
      <w:pPr>
        <w:ind w:left="5454" w:hanging="360"/>
      </w:pPr>
      <w:rPr/>
    </w:lvl>
    <w:lvl w:ilvl="7">
      <w:start w:val="1"/>
      <w:numFmt w:val="lowerLetter"/>
      <w:lvlText w:val="%8."/>
      <w:lvlJc w:val="left"/>
      <w:pPr>
        <w:ind w:left="6174" w:hanging="360"/>
      </w:pPr>
      <w:rPr/>
    </w:lvl>
    <w:lvl w:ilvl="8">
      <w:start w:val="1"/>
      <w:numFmt w:val="lowerRoman"/>
      <w:lvlText w:val="%9."/>
      <w:lvlJc w:val="right"/>
      <w:pPr>
        <w:ind w:left="6894"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EndnoteText">
    <w:name w:val="endnote text"/>
    <w:basedOn w:val="Normal"/>
    <w:link w:val="EndnoteTextChar"/>
    <w:semiHidden w:val="1"/>
    <w:rsid w:val="00325883"/>
    <w:pPr>
      <w:widowControl w:val="0"/>
      <w:autoSpaceDE w:val="0"/>
      <w:autoSpaceDN w:val="0"/>
      <w:spacing w:after="0" w:line="240" w:lineRule="auto"/>
      <w:jc w:val="both"/>
    </w:pPr>
    <w:rPr>
      <w:rFonts w:ascii="Courier New" w:cs="Courier New" w:eastAsia="Times New Roman" w:hAnsi="Courier New"/>
      <w:sz w:val="20"/>
      <w:szCs w:val="24"/>
    </w:rPr>
  </w:style>
  <w:style w:type="character" w:styleId="EndnoteTextChar" w:customStyle="1">
    <w:name w:val="Endnote Text Char"/>
    <w:basedOn w:val="DefaultParagraphFont"/>
    <w:link w:val="EndnoteText"/>
    <w:semiHidden w:val="1"/>
    <w:rsid w:val="00325883"/>
    <w:rPr>
      <w:rFonts w:ascii="Courier New" w:cs="Courier New" w:eastAsia="Times New Roman" w:hAnsi="Courier New"/>
      <w:sz w:val="2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flDXUrv1BDP2hYfoRpjLvrwdsA==">AMUW2mXDj3Q9RBjo25hGb67zT3aPa8i0WW4/7P22dgDffg2t3X3R91fmsDbo+2vXiqltsvH0Xdg9zYPy27WOJvpEInDoIu9Ypgshv4HRmGgPaSN02GOTDpA=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2022-08-11T03:46:00Z</dcterms:created>
  <dc:creator>Anggi WIdiya Purnama</dc:creator>
</cp:coreProperties>
</file>