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36916C" w14:textId="77777777" w:rsidR="004D35BA" w:rsidRDefault="00F4792E">
      <w:pPr>
        <w:pStyle w:val="Titel"/>
        <w:jc w:val="center"/>
      </w:pPr>
      <w:r>
        <w:rPr>
          <w:rFonts w:ascii="Open Sans" w:hAnsi="Open Sans"/>
          <w:lang w:val="en-US"/>
        </w:rPr>
        <w:t>Reproducibility Review of:</w:t>
      </w:r>
      <w:r>
        <w:rPr>
          <w:rFonts w:ascii="Segoe UI" w:eastAsia="Times New Roman" w:hAnsi="Segoe UI" w:cs="Segoe UI"/>
          <w:i/>
          <w:iCs/>
          <w:color w:val="073763"/>
          <w:kern w:val="0"/>
          <w:sz w:val="27"/>
          <w:szCs w:val="27"/>
          <w:lang w:val="en-US" w:eastAsia="de-AT"/>
        </w:rPr>
        <w:t xml:space="preserve"> </w:t>
      </w:r>
      <w:r>
        <w:rPr>
          <w:rFonts w:ascii="Open Sans" w:hAnsi="Open Sans"/>
          <w:lang w:val="en-US"/>
        </w:rPr>
        <w:t>Changes in Road Centrality and Hospital Access Redundancy:</w:t>
      </w:r>
    </w:p>
    <w:p w14:paraId="1436916D" w14:textId="77777777" w:rsidR="004D35BA" w:rsidRDefault="00F4792E">
      <w:pPr>
        <w:pStyle w:val="Titel"/>
        <w:jc w:val="center"/>
      </w:pPr>
      <w:r>
        <w:rPr>
          <w:rFonts w:ascii="Open Sans" w:hAnsi="Open Sans"/>
          <w:noProof/>
          <w:lang w:val="en-US"/>
        </w:rPr>
        <w:drawing>
          <wp:anchor distT="0" distB="0" distL="114300" distR="114300" simplePos="0" relativeHeight="251658752" behindDoc="0" locked="0" layoutInCell="1" allowOverlap="1" wp14:anchorId="1436916C" wp14:editId="1436916D">
            <wp:simplePos x="0" y="0"/>
            <wp:positionH relativeFrom="page">
              <wp:posOffset>2915921</wp:posOffset>
            </wp:positionH>
            <wp:positionV relativeFrom="page">
              <wp:posOffset>3850638</wp:posOffset>
            </wp:positionV>
            <wp:extent cx="1689097" cy="1689097"/>
            <wp:effectExtent l="0" t="0" r="6353" b="6353"/>
            <wp:wrapTopAndBottom/>
            <wp:docPr id="1692989862" name="Image 2" descr="A green and white sign with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689097" cy="1689097"/>
                    </a:xfrm>
                    <a:prstGeom prst="rect">
                      <a:avLst/>
                    </a:prstGeom>
                    <a:noFill/>
                    <a:ln>
                      <a:noFill/>
                      <a:prstDash/>
                    </a:ln>
                  </pic:spPr>
                </pic:pic>
              </a:graphicData>
            </a:graphic>
          </wp:anchor>
        </w:drawing>
      </w:r>
      <w:r>
        <w:rPr>
          <w:rFonts w:ascii="Open Sans" w:hAnsi="Open Sans"/>
          <w:lang w:val="en-US"/>
        </w:rPr>
        <w:t>Impacts of the 2024 Flood in the Metropolitan Core of Porto Alegre, Brazil</w:t>
      </w:r>
    </w:p>
    <w:p w14:paraId="1436916E" w14:textId="77777777" w:rsidR="004D35BA" w:rsidRDefault="004D35BA">
      <w:pPr>
        <w:pStyle w:val="Titel"/>
        <w:jc w:val="center"/>
        <w:rPr>
          <w:rFonts w:ascii="Open Sans" w:hAnsi="Open Sans"/>
          <w:lang w:val="en-US"/>
        </w:rPr>
      </w:pPr>
    </w:p>
    <w:p w14:paraId="1436916F" w14:textId="77777777" w:rsidR="004D35BA" w:rsidRDefault="004D35BA">
      <w:pPr>
        <w:rPr>
          <w:rFonts w:ascii="Open Sans" w:hAnsi="Open Sans"/>
          <w:lang w:val="en-US"/>
        </w:rPr>
      </w:pPr>
    </w:p>
    <w:tbl>
      <w:tblPr>
        <w:tblW w:w="6804" w:type="dxa"/>
        <w:jc w:val="center"/>
        <w:tblLayout w:type="fixed"/>
        <w:tblCellMar>
          <w:left w:w="10" w:type="dxa"/>
          <w:right w:w="10" w:type="dxa"/>
        </w:tblCellMar>
        <w:tblLook w:val="0000" w:firstRow="0" w:lastRow="0" w:firstColumn="0" w:lastColumn="0" w:noHBand="0" w:noVBand="0"/>
      </w:tblPr>
      <w:tblGrid>
        <w:gridCol w:w="1985"/>
        <w:gridCol w:w="4819"/>
      </w:tblGrid>
      <w:tr w:rsidR="004D35BA" w14:paraId="14369172" w14:textId="77777777">
        <w:tblPrEx>
          <w:tblCellMar>
            <w:top w:w="0" w:type="dxa"/>
            <w:bottom w:w="0" w:type="dxa"/>
          </w:tblCellMar>
        </w:tblPrEx>
        <w:trPr>
          <w:jc w:val="center"/>
        </w:trPr>
        <w:tc>
          <w:tcPr>
            <w:tcW w:w="1985" w:type="dxa"/>
            <w:tcBorders>
              <w:top w:val="single" w:sz="4" w:space="0" w:color="000000"/>
              <w:bottom w:val="single" w:sz="4" w:space="0" w:color="000000"/>
            </w:tcBorders>
            <w:shd w:val="clear" w:color="auto" w:fill="auto"/>
            <w:tcMar>
              <w:top w:w="0" w:type="dxa"/>
              <w:left w:w="108" w:type="dxa"/>
              <w:bottom w:w="0" w:type="dxa"/>
              <w:right w:w="108" w:type="dxa"/>
            </w:tcMar>
          </w:tcPr>
          <w:p w14:paraId="14369170" w14:textId="77777777" w:rsidR="004D35BA" w:rsidRDefault="00F4792E">
            <w:pPr>
              <w:widowControl w:val="0"/>
              <w:spacing w:after="0" w:line="240" w:lineRule="auto"/>
            </w:pPr>
            <w:r>
              <w:rPr>
                <w:rFonts w:ascii="Open Sans" w:hAnsi="Open Sans"/>
                <w:lang w:val="en-US"/>
              </w:rPr>
              <w:t>Item</w:t>
            </w:r>
          </w:p>
        </w:tc>
        <w:tc>
          <w:tcPr>
            <w:tcW w:w="4819" w:type="dxa"/>
            <w:tcBorders>
              <w:top w:val="single" w:sz="4" w:space="0" w:color="000000"/>
              <w:bottom w:val="single" w:sz="4" w:space="0" w:color="000000"/>
            </w:tcBorders>
            <w:shd w:val="clear" w:color="auto" w:fill="auto"/>
            <w:tcMar>
              <w:top w:w="0" w:type="dxa"/>
              <w:left w:w="108" w:type="dxa"/>
              <w:bottom w:w="0" w:type="dxa"/>
              <w:right w:w="108" w:type="dxa"/>
            </w:tcMar>
          </w:tcPr>
          <w:p w14:paraId="14369171" w14:textId="77777777" w:rsidR="004D35BA" w:rsidRDefault="00F4792E">
            <w:pPr>
              <w:widowControl w:val="0"/>
              <w:spacing w:after="0" w:line="240" w:lineRule="auto"/>
            </w:pPr>
            <w:r>
              <w:rPr>
                <w:rFonts w:ascii="Open Sans" w:hAnsi="Open Sans"/>
                <w:lang w:val="en-US"/>
              </w:rPr>
              <w:t>Value</w:t>
            </w:r>
          </w:p>
        </w:tc>
      </w:tr>
      <w:tr w:rsidR="004D35BA" w14:paraId="14369175" w14:textId="77777777">
        <w:tblPrEx>
          <w:tblCellMar>
            <w:top w:w="0" w:type="dxa"/>
            <w:bottom w:w="0" w:type="dxa"/>
          </w:tblCellMar>
        </w:tblPrEx>
        <w:trPr>
          <w:jc w:val="center"/>
        </w:trPr>
        <w:tc>
          <w:tcPr>
            <w:tcW w:w="1985" w:type="dxa"/>
            <w:tcBorders>
              <w:top w:val="single" w:sz="4" w:space="0" w:color="000000"/>
            </w:tcBorders>
            <w:shd w:val="clear" w:color="auto" w:fill="auto"/>
            <w:tcMar>
              <w:top w:w="0" w:type="dxa"/>
              <w:left w:w="108" w:type="dxa"/>
              <w:bottom w:w="0" w:type="dxa"/>
              <w:right w:w="108" w:type="dxa"/>
            </w:tcMar>
          </w:tcPr>
          <w:p w14:paraId="14369173" w14:textId="77777777" w:rsidR="004D35BA" w:rsidRDefault="00F4792E">
            <w:pPr>
              <w:widowControl w:val="0"/>
              <w:spacing w:after="0" w:line="240" w:lineRule="auto"/>
            </w:pPr>
            <w:r>
              <w:rPr>
                <w:rFonts w:ascii="Open Sans" w:hAnsi="Open Sans"/>
                <w:lang w:val="en-US"/>
              </w:rPr>
              <w:t>Title</w:t>
            </w:r>
          </w:p>
        </w:tc>
        <w:tc>
          <w:tcPr>
            <w:tcW w:w="4819" w:type="dxa"/>
            <w:tcBorders>
              <w:top w:val="single" w:sz="4" w:space="0" w:color="000000"/>
            </w:tcBorders>
            <w:shd w:val="clear" w:color="auto" w:fill="auto"/>
            <w:tcMar>
              <w:top w:w="0" w:type="dxa"/>
              <w:left w:w="108" w:type="dxa"/>
              <w:bottom w:w="0" w:type="dxa"/>
              <w:right w:w="108" w:type="dxa"/>
            </w:tcMar>
          </w:tcPr>
          <w:p w14:paraId="14369174" w14:textId="77777777" w:rsidR="004D35BA" w:rsidRDefault="00F4792E">
            <w:pPr>
              <w:widowControl w:val="0"/>
              <w:spacing w:after="0" w:line="240" w:lineRule="auto"/>
            </w:pPr>
            <w:r>
              <w:rPr>
                <w:rFonts w:ascii="Open Sans" w:hAnsi="Open Sans"/>
                <w:lang w:val="en-US"/>
              </w:rPr>
              <w:t xml:space="preserve">Centrality and Resilience in the Face of </w:t>
            </w:r>
            <w:r>
              <w:rPr>
                <w:rFonts w:ascii="Open Sans" w:hAnsi="Open Sans"/>
                <w:lang w:val="en-US"/>
              </w:rPr>
              <w:t>Flooding: A Case Study of Rio Grande do Sul</w:t>
            </w:r>
          </w:p>
        </w:tc>
      </w:tr>
      <w:tr w:rsidR="004D35BA" w14:paraId="14369178" w14:textId="77777777">
        <w:tblPrEx>
          <w:tblCellMar>
            <w:top w:w="0" w:type="dxa"/>
            <w:bottom w:w="0" w:type="dxa"/>
          </w:tblCellMar>
        </w:tblPrEx>
        <w:trPr>
          <w:jc w:val="center"/>
        </w:trPr>
        <w:tc>
          <w:tcPr>
            <w:tcW w:w="1985" w:type="dxa"/>
            <w:shd w:val="clear" w:color="auto" w:fill="auto"/>
            <w:tcMar>
              <w:top w:w="0" w:type="dxa"/>
              <w:left w:w="108" w:type="dxa"/>
              <w:bottom w:w="0" w:type="dxa"/>
              <w:right w:w="108" w:type="dxa"/>
            </w:tcMar>
          </w:tcPr>
          <w:p w14:paraId="14369176" w14:textId="77777777" w:rsidR="004D35BA" w:rsidRDefault="00F4792E">
            <w:pPr>
              <w:widowControl w:val="0"/>
              <w:spacing w:after="0" w:line="240" w:lineRule="auto"/>
            </w:pPr>
            <w:r>
              <w:rPr>
                <w:rFonts w:ascii="Open Sans" w:hAnsi="Open Sans"/>
                <w:lang w:val="en-US"/>
              </w:rPr>
              <w:t>Authors</w:t>
            </w:r>
          </w:p>
        </w:tc>
        <w:tc>
          <w:tcPr>
            <w:tcW w:w="4819" w:type="dxa"/>
            <w:shd w:val="clear" w:color="auto" w:fill="auto"/>
            <w:tcMar>
              <w:top w:w="0" w:type="dxa"/>
              <w:left w:w="108" w:type="dxa"/>
              <w:bottom w:w="0" w:type="dxa"/>
              <w:right w:w="108" w:type="dxa"/>
            </w:tcMar>
          </w:tcPr>
          <w:p w14:paraId="14369177" w14:textId="77777777" w:rsidR="004D35BA" w:rsidRDefault="00F4792E">
            <w:pPr>
              <w:widowControl w:val="0"/>
              <w:spacing w:after="0" w:line="240" w:lineRule="auto"/>
            </w:pPr>
            <w:r>
              <w:rPr>
                <w:rFonts w:ascii="Open Sans" w:hAnsi="Open Sans"/>
                <w:lang w:val="en-US"/>
              </w:rPr>
              <w:t>Ricardo RUIZ SANCHEZ, Marcel REINMUTH, Cristian ALBORNOZ, Sven LAUTENBACH, Alexander ZIPF</w:t>
            </w:r>
          </w:p>
        </w:tc>
      </w:tr>
      <w:tr w:rsidR="004D35BA" w14:paraId="1436917B" w14:textId="77777777">
        <w:tblPrEx>
          <w:tblCellMar>
            <w:top w:w="0" w:type="dxa"/>
            <w:bottom w:w="0" w:type="dxa"/>
          </w:tblCellMar>
        </w:tblPrEx>
        <w:trPr>
          <w:jc w:val="center"/>
        </w:trPr>
        <w:tc>
          <w:tcPr>
            <w:tcW w:w="1985" w:type="dxa"/>
            <w:shd w:val="clear" w:color="auto" w:fill="auto"/>
            <w:tcMar>
              <w:top w:w="0" w:type="dxa"/>
              <w:left w:w="108" w:type="dxa"/>
              <w:bottom w:w="0" w:type="dxa"/>
              <w:right w:w="108" w:type="dxa"/>
            </w:tcMar>
          </w:tcPr>
          <w:p w14:paraId="14369179" w14:textId="77777777" w:rsidR="004D35BA" w:rsidRDefault="00F4792E">
            <w:pPr>
              <w:widowControl w:val="0"/>
              <w:spacing w:after="0" w:line="240" w:lineRule="auto"/>
            </w:pPr>
            <w:r>
              <w:rPr>
                <w:rFonts w:ascii="Open Sans" w:hAnsi="Open Sans"/>
                <w:shd w:val="clear" w:color="auto" w:fill="FFFF00"/>
                <w:lang w:val="en-US"/>
              </w:rPr>
              <w:t>Ref. paper</w:t>
            </w:r>
          </w:p>
        </w:tc>
        <w:tc>
          <w:tcPr>
            <w:tcW w:w="4819" w:type="dxa"/>
            <w:shd w:val="clear" w:color="auto" w:fill="auto"/>
            <w:tcMar>
              <w:top w:w="0" w:type="dxa"/>
              <w:left w:w="108" w:type="dxa"/>
              <w:bottom w:w="0" w:type="dxa"/>
              <w:right w:w="108" w:type="dxa"/>
            </w:tcMar>
          </w:tcPr>
          <w:p w14:paraId="1436917A" w14:textId="77777777" w:rsidR="004D35BA" w:rsidRDefault="00F4792E">
            <w:pPr>
              <w:widowControl w:val="0"/>
              <w:spacing w:after="0" w:line="240" w:lineRule="auto"/>
            </w:pPr>
            <w:r>
              <w:rPr>
                <w:rFonts w:ascii="Open Sans" w:hAnsi="Open Sans"/>
                <w:shd w:val="clear" w:color="auto" w:fill="FFFF00"/>
                <w:lang w:val="en-US"/>
              </w:rPr>
              <w:t>[reference to the paper, DOI or URL]</w:t>
            </w:r>
          </w:p>
        </w:tc>
      </w:tr>
      <w:tr w:rsidR="004D35BA" w14:paraId="1436917F" w14:textId="77777777">
        <w:tblPrEx>
          <w:tblCellMar>
            <w:top w:w="0" w:type="dxa"/>
            <w:bottom w:w="0" w:type="dxa"/>
          </w:tblCellMar>
        </w:tblPrEx>
        <w:trPr>
          <w:jc w:val="center"/>
        </w:trPr>
        <w:tc>
          <w:tcPr>
            <w:tcW w:w="1985" w:type="dxa"/>
            <w:shd w:val="clear" w:color="auto" w:fill="auto"/>
            <w:tcMar>
              <w:top w:w="0" w:type="dxa"/>
              <w:left w:w="108" w:type="dxa"/>
              <w:bottom w:w="0" w:type="dxa"/>
              <w:right w:w="108" w:type="dxa"/>
            </w:tcMar>
          </w:tcPr>
          <w:p w14:paraId="1436917C" w14:textId="77777777" w:rsidR="004D35BA" w:rsidRDefault="00F4792E">
            <w:pPr>
              <w:widowControl w:val="0"/>
              <w:spacing w:after="0" w:line="240" w:lineRule="auto"/>
            </w:pPr>
            <w:r>
              <w:rPr>
                <w:rFonts w:ascii="Open Sans" w:hAnsi="Open Sans"/>
                <w:lang w:val="en-US"/>
              </w:rPr>
              <w:t>Codechecker(s)</w:t>
            </w:r>
          </w:p>
        </w:tc>
        <w:tc>
          <w:tcPr>
            <w:tcW w:w="4819" w:type="dxa"/>
            <w:shd w:val="clear" w:color="auto" w:fill="auto"/>
            <w:tcMar>
              <w:top w:w="0" w:type="dxa"/>
              <w:left w:w="108" w:type="dxa"/>
              <w:bottom w:w="0" w:type="dxa"/>
              <w:right w:w="108" w:type="dxa"/>
            </w:tcMar>
          </w:tcPr>
          <w:p w14:paraId="1436917D" w14:textId="77777777" w:rsidR="004D35BA" w:rsidRDefault="00F4792E">
            <w:pPr>
              <w:widowControl w:val="0"/>
              <w:spacing w:after="0" w:line="240" w:lineRule="auto"/>
              <w:rPr>
                <w:rFonts w:ascii="Open Sans" w:hAnsi="Open Sans"/>
                <w:lang w:val="de-AT"/>
              </w:rPr>
            </w:pPr>
            <w:r>
              <w:rPr>
                <w:rFonts w:ascii="Open Sans" w:hAnsi="Open Sans"/>
                <w:lang w:val="de-AT"/>
              </w:rPr>
              <w:t xml:space="preserve">Barbara Hofer, </w:t>
            </w:r>
            <w:r>
              <w:rPr>
                <w:rFonts w:ascii="Open Sans" w:hAnsi="Open Sans"/>
                <w:lang w:val="de-AT"/>
              </w:rPr>
              <w:t>https://orcid.org/</w:t>
            </w:r>
          </w:p>
          <w:p w14:paraId="1436917E" w14:textId="77777777" w:rsidR="004D35BA" w:rsidRDefault="00F4792E">
            <w:pPr>
              <w:widowControl w:val="0"/>
              <w:spacing w:after="0" w:line="240" w:lineRule="auto"/>
              <w:rPr>
                <w:rFonts w:ascii="Open Sans" w:hAnsi="Open Sans"/>
                <w:bCs/>
                <w:lang w:val="de-AT"/>
              </w:rPr>
            </w:pPr>
            <w:r>
              <w:rPr>
                <w:rFonts w:ascii="Open Sans" w:hAnsi="Open Sans"/>
                <w:bCs/>
                <w:lang w:val="de-AT"/>
              </w:rPr>
              <w:t>0000-0001-7078-3766</w:t>
            </w:r>
          </w:p>
        </w:tc>
      </w:tr>
      <w:tr w:rsidR="004D35BA" w14:paraId="14369182" w14:textId="77777777">
        <w:tblPrEx>
          <w:tblCellMar>
            <w:top w:w="0" w:type="dxa"/>
            <w:bottom w:w="0" w:type="dxa"/>
          </w:tblCellMar>
        </w:tblPrEx>
        <w:trPr>
          <w:jc w:val="center"/>
        </w:trPr>
        <w:tc>
          <w:tcPr>
            <w:tcW w:w="1985" w:type="dxa"/>
            <w:shd w:val="clear" w:color="auto" w:fill="auto"/>
            <w:tcMar>
              <w:top w:w="0" w:type="dxa"/>
              <w:left w:w="108" w:type="dxa"/>
              <w:bottom w:w="0" w:type="dxa"/>
              <w:right w:w="108" w:type="dxa"/>
            </w:tcMar>
          </w:tcPr>
          <w:p w14:paraId="14369180" w14:textId="77777777" w:rsidR="004D35BA" w:rsidRDefault="00F4792E">
            <w:pPr>
              <w:widowControl w:val="0"/>
              <w:spacing w:after="0" w:line="240" w:lineRule="auto"/>
            </w:pPr>
            <w:r>
              <w:rPr>
                <w:rFonts w:ascii="Open Sans" w:hAnsi="Open Sans"/>
                <w:lang w:val="en-US"/>
              </w:rPr>
              <w:t>Date of Check</w:t>
            </w:r>
          </w:p>
        </w:tc>
        <w:tc>
          <w:tcPr>
            <w:tcW w:w="4819" w:type="dxa"/>
            <w:shd w:val="clear" w:color="auto" w:fill="auto"/>
            <w:tcMar>
              <w:top w:w="0" w:type="dxa"/>
              <w:left w:w="108" w:type="dxa"/>
              <w:bottom w:w="0" w:type="dxa"/>
              <w:right w:w="108" w:type="dxa"/>
            </w:tcMar>
          </w:tcPr>
          <w:p w14:paraId="14369181" w14:textId="77777777" w:rsidR="004D35BA" w:rsidRDefault="00F4792E">
            <w:pPr>
              <w:widowControl w:val="0"/>
              <w:spacing w:after="0" w:line="240" w:lineRule="auto"/>
            </w:pPr>
            <w:r>
              <w:rPr>
                <w:rFonts w:ascii="Open Sans" w:hAnsi="Open Sans"/>
                <w:lang w:val="en-US"/>
              </w:rPr>
              <w:t>2025-04-02</w:t>
            </w:r>
          </w:p>
        </w:tc>
      </w:tr>
      <w:tr w:rsidR="004D35BA" w14:paraId="14369185" w14:textId="77777777">
        <w:tblPrEx>
          <w:tblCellMar>
            <w:top w:w="0" w:type="dxa"/>
            <w:bottom w:w="0" w:type="dxa"/>
          </w:tblCellMar>
        </w:tblPrEx>
        <w:trPr>
          <w:jc w:val="center"/>
        </w:trPr>
        <w:tc>
          <w:tcPr>
            <w:tcW w:w="1985" w:type="dxa"/>
            <w:shd w:val="clear" w:color="auto" w:fill="auto"/>
            <w:tcMar>
              <w:top w:w="0" w:type="dxa"/>
              <w:left w:w="108" w:type="dxa"/>
              <w:bottom w:w="0" w:type="dxa"/>
              <w:right w:w="108" w:type="dxa"/>
            </w:tcMar>
          </w:tcPr>
          <w:p w14:paraId="14369183" w14:textId="77777777" w:rsidR="004D35BA" w:rsidRDefault="00F4792E">
            <w:pPr>
              <w:widowControl w:val="0"/>
              <w:spacing w:after="0" w:line="240" w:lineRule="auto"/>
            </w:pPr>
            <w:r>
              <w:rPr>
                <w:rFonts w:ascii="Open Sans" w:hAnsi="Open Sans"/>
                <w:lang w:val="en-US"/>
              </w:rPr>
              <w:t>Summary</w:t>
            </w:r>
          </w:p>
        </w:tc>
        <w:tc>
          <w:tcPr>
            <w:tcW w:w="4819" w:type="dxa"/>
            <w:shd w:val="clear" w:color="auto" w:fill="auto"/>
            <w:tcMar>
              <w:top w:w="0" w:type="dxa"/>
              <w:left w:w="108" w:type="dxa"/>
              <w:bottom w:w="0" w:type="dxa"/>
              <w:right w:w="108" w:type="dxa"/>
            </w:tcMar>
          </w:tcPr>
          <w:p w14:paraId="14369184" w14:textId="77777777" w:rsidR="004D35BA" w:rsidRDefault="00F4792E">
            <w:pPr>
              <w:widowControl w:val="0"/>
              <w:spacing w:after="0" w:line="240" w:lineRule="auto"/>
            </w:pPr>
            <w:r>
              <w:rPr>
                <w:rFonts w:ascii="Open Sans" w:hAnsi="Open Sans"/>
                <w:lang w:val="en-US"/>
              </w:rPr>
              <w:t>Partial reproduction</w:t>
            </w:r>
          </w:p>
        </w:tc>
      </w:tr>
      <w:tr w:rsidR="004D35BA" w14:paraId="14369188" w14:textId="77777777">
        <w:tblPrEx>
          <w:tblCellMar>
            <w:top w:w="0" w:type="dxa"/>
            <w:bottom w:w="0" w:type="dxa"/>
          </w:tblCellMar>
        </w:tblPrEx>
        <w:trPr>
          <w:jc w:val="center"/>
        </w:trPr>
        <w:tc>
          <w:tcPr>
            <w:tcW w:w="1985" w:type="dxa"/>
            <w:shd w:val="clear" w:color="auto" w:fill="auto"/>
            <w:tcMar>
              <w:top w:w="0" w:type="dxa"/>
              <w:left w:w="108" w:type="dxa"/>
              <w:bottom w:w="0" w:type="dxa"/>
              <w:right w:w="108" w:type="dxa"/>
            </w:tcMar>
          </w:tcPr>
          <w:p w14:paraId="14369186" w14:textId="77777777" w:rsidR="004D35BA" w:rsidRDefault="00F4792E">
            <w:pPr>
              <w:widowControl w:val="0"/>
              <w:spacing w:after="0" w:line="240" w:lineRule="auto"/>
            </w:pPr>
            <w:r>
              <w:rPr>
                <w:rFonts w:ascii="Open Sans" w:hAnsi="Open Sans"/>
                <w:lang w:val="en-US"/>
              </w:rPr>
              <w:t>Repository</w:t>
            </w:r>
          </w:p>
        </w:tc>
        <w:tc>
          <w:tcPr>
            <w:tcW w:w="4819" w:type="dxa"/>
            <w:shd w:val="clear" w:color="auto" w:fill="auto"/>
            <w:tcMar>
              <w:top w:w="0" w:type="dxa"/>
              <w:left w:w="108" w:type="dxa"/>
              <w:bottom w:w="0" w:type="dxa"/>
              <w:right w:w="108" w:type="dxa"/>
            </w:tcMar>
          </w:tcPr>
          <w:p w14:paraId="14369187" w14:textId="77777777" w:rsidR="004D35BA" w:rsidRDefault="00F4792E">
            <w:pPr>
              <w:widowControl w:val="0"/>
              <w:spacing w:after="0" w:line="240" w:lineRule="auto"/>
            </w:pPr>
            <w:r>
              <w:rPr>
                <w:rFonts w:ascii="Open Sans" w:hAnsi="Open Sans"/>
                <w:lang w:val="en-US"/>
              </w:rPr>
              <w:t xml:space="preserve">Author repository used: </w:t>
            </w:r>
            <w:hyperlink r:id="rId8" w:history="1">
              <w:r>
                <w:rPr>
                  <w:rStyle w:val="Hyperlink"/>
                  <w:rFonts w:ascii="Open Sans" w:hAnsi="Open Sans"/>
                  <w:lang w:val="en-US"/>
                </w:rPr>
                <w:t>https://github.com/rruiz-s/agile-gscience-2024-rs-flood</w:t>
              </w:r>
            </w:hyperlink>
            <w:r>
              <w:rPr>
                <w:rFonts w:ascii="Open Sans" w:hAnsi="Open Sans"/>
                <w:lang w:val="en-US"/>
              </w:rPr>
              <w:t xml:space="preserve"> </w:t>
            </w:r>
          </w:p>
        </w:tc>
      </w:tr>
      <w:tr w:rsidR="004D35BA" w14:paraId="1436918B" w14:textId="77777777">
        <w:tblPrEx>
          <w:tblCellMar>
            <w:top w:w="0" w:type="dxa"/>
            <w:bottom w:w="0" w:type="dxa"/>
          </w:tblCellMar>
        </w:tblPrEx>
        <w:trPr>
          <w:jc w:val="center"/>
        </w:trPr>
        <w:tc>
          <w:tcPr>
            <w:tcW w:w="1985" w:type="dxa"/>
            <w:tcBorders>
              <w:bottom w:val="single" w:sz="4" w:space="0" w:color="000000"/>
            </w:tcBorders>
            <w:shd w:val="clear" w:color="auto" w:fill="auto"/>
            <w:tcMar>
              <w:top w:w="0" w:type="dxa"/>
              <w:left w:w="108" w:type="dxa"/>
              <w:bottom w:w="0" w:type="dxa"/>
              <w:right w:w="108" w:type="dxa"/>
            </w:tcMar>
          </w:tcPr>
          <w:p w14:paraId="14369189" w14:textId="77777777" w:rsidR="004D35BA" w:rsidRDefault="00F4792E">
            <w:pPr>
              <w:widowControl w:val="0"/>
              <w:spacing w:after="0" w:line="240" w:lineRule="auto"/>
            </w:pPr>
            <w:r>
              <w:rPr>
                <w:rFonts w:ascii="Open Sans" w:hAnsi="Open Sans"/>
                <w:lang w:val="en-US"/>
              </w:rPr>
              <w:t>Ref. certificate</w:t>
            </w:r>
          </w:p>
        </w:tc>
        <w:tc>
          <w:tcPr>
            <w:tcW w:w="4819" w:type="dxa"/>
            <w:tcBorders>
              <w:bottom w:val="single" w:sz="4" w:space="0" w:color="000000"/>
            </w:tcBorders>
            <w:shd w:val="clear" w:color="auto" w:fill="auto"/>
            <w:tcMar>
              <w:top w:w="0" w:type="dxa"/>
              <w:left w:w="108" w:type="dxa"/>
              <w:bottom w:w="0" w:type="dxa"/>
              <w:right w:w="108" w:type="dxa"/>
            </w:tcMar>
          </w:tcPr>
          <w:p w14:paraId="1436918A" w14:textId="77777777" w:rsidR="004D35BA" w:rsidRDefault="00F4792E">
            <w:pPr>
              <w:widowControl w:val="0"/>
              <w:spacing w:after="0" w:line="240" w:lineRule="auto"/>
            </w:pPr>
            <w:r>
              <w:rPr>
                <w:rFonts w:ascii="Open Sans" w:hAnsi="Open Sans"/>
                <w:shd w:val="clear" w:color="auto" w:fill="FFFF00"/>
                <w:lang w:val="en-US"/>
              </w:rPr>
              <w:t>[DOI of this report]</w:t>
            </w:r>
          </w:p>
        </w:tc>
      </w:tr>
    </w:tbl>
    <w:p w14:paraId="1436918C" w14:textId="77777777" w:rsidR="004D35BA" w:rsidRDefault="00F4792E">
      <w:pPr>
        <w:jc w:val="center"/>
      </w:pPr>
      <w:r>
        <w:rPr>
          <w:rFonts w:ascii="Open Sans" w:hAnsi="Open Sans"/>
          <w:b/>
          <w:bCs/>
          <w:lang w:val="en-US"/>
        </w:rPr>
        <w:t>Table 1: Reproduction metadata</w:t>
      </w:r>
    </w:p>
    <w:p w14:paraId="1436918D" w14:textId="77777777" w:rsidR="004D35BA" w:rsidRDefault="004D35BA">
      <w:pPr>
        <w:rPr>
          <w:rFonts w:ascii="Open Sans" w:hAnsi="Open Sans"/>
          <w:lang w:val="en-US"/>
        </w:rPr>
      </w:pPr>
    </w:p>
    <w:p w14:paraId="1436918E" w14:textId="77777777" w:rsidR="004D35BA" w:rsidRDefault="004D35BA">
      <w:pPr>
        <w:pageBreakBefore/>
      </w:pPr>
    </w:p>
    <w:p w14:paraId="1436918F" w14:textId="77777777" w:rsidR="004D35BA" w:rsidRDefault="00F4792E">
      <w:pPr>
        <w:pStyle w:val="berschrift1"/>
      </w:pPr>
      <w:r>
        <w:rPr>
          <w:rFonts w:ascii="Open Sans" w:hAnsi="Open Sans"/>
          <w:lang w:val="en-US"/>
        </w:rPr>
        <w:t>Summary</w:t>
      </w:r>
    </w:p>
    <w:p w14:paraId="14369190" w14:textId="77777777" w:rsidR="004D35BA" w:rsidRDefault="00F4792E">
      <w:r>
        <w:rPr>
          <w:rFonts w:ascii="Open Sans" w:hAnsi="Open Sans"/>
          <w:lang w:val="en-US"/>
        </w:rPr>
        <w:t xml:space="preserve">The </w:t>
      </w:r>
      <w:r>
        <w:rPr>
          <w:rFonts w:ascii="Open Sans" w:hAnsi="Open Sans"/>
          <w:lang w:val="en-US"/>
        </w:rPr>
        <w:t>paper presents an analysis of the centrality values of the road network in the case of a flood event. Main goal is the evaluation of accessibility of emergency facilities in hospitals given the flooding of parts of the road network. The analysis is entirely based on open-source tools and open data. The main tools used are the openrouteservice (</w:t>
      </w:r>
      <w:hyperlink r:id="rId9" w:history="1">
        <w:r>
          <w:rPr>
            <w:rStyle w:val="Hyperlink"/>
            <w:rFonts w:ascii="Open Sans" w:hAnsi="Open Sans"/>
            <w:lang w:val="en-US"/>
          </w:rPr>
          <w:t>https://openrouteservice.org/</w:t>
        </w:r>
      </w:hyperlink>
      <w:r>
        <w:rPr>
          <w:rFonts w:ascii="Open Sans" w:hAnsi="Open Sans"/>
          <w:lang w:val="en-US"/>
        </w:rPr>
        <w:t xml:space="preserve">), PostgreSQL with PostGIS extension, QGIS and R. </w:t>
      </w:r>
    </w:p>
    <w:p w14:paraId="14369191" w14:textId="77777777" w:rsidR="004D35BA" w:rsidRDefault="00F4792E">
      <w:r>
        <w:rPr>
          <w:rFonts w:ascii="Open Sans" w:hAnsi="Open Sans"/>
          <w:lang w:val="en-US"/>
        </w:rPr>
        <w:t>The analysis is documented in a GitHub repository  (</w:t>
      </w:r>
      <w:hyperlink r:id="rId10" w:history="1">
        <w:r>
          <w:rPr>
            <w:rStyle w:val="Hyperlink"/>
            <w:rFonts w:ascii="Open Sans" w:hAnsi="Open Sans"/>
            <w:lang w:val="en-US"/>
          </w:rPr>
          <w:t>https://github.com/rruiz-s/agile-gscience-2024-rs-flood</w:t>
        </w:r>
      </w:hyperlink>
      <w:r>
        <w:rPr>
          <w:rFonts w:ascii="Open Sans" w:hAnsi="Open Sans"/>
          <w:lang w:val="en-US"/>
        </w:rPr>
        <w:t xml:space="preserve">) that served as basis for the this review of the reproducibility. A particular strength of the paper is that all data sources are open data, some of which even have a DOI. The review of the reproducibility attempted a partial reproduction focusing on the data analysis (done in R and QGIS) and excluding the data preprocessing (with PostgreSQL and openrouteservice). </w:t>
      </w:r>
    </w:p>
    <w:p w14:paraId="14369192" w14:textId="77777777" w:rsidR="004D35BA" w:rsidRDefault="00F4792E">
      <w:pPr>
        <w:rPr>
          <w:rFonts w:ascii="Open Sans" w:hAnsi="Open Sans"/>
          <w:lang w:val="en-US"/>
        </w:rPr>
      </w:pPr>
      <w:r>
        <w:rPr>
          <w:rFonts w:ascii="Open Sans" w:hAnsi="Open Sans"/>
          <w:lang w:val="en-US"/>
        </w:rPr>
        <w:t>The authors were highly supportive and provided a revised version of the R Markdown file during the review, which led to a successful reproduction of the data analysis part of the publication.</w:t>
      </w:r>
    </w:p>
    <w:p w14:paraId="14369193" w14:textId="77777777" w:rsidR="004D35BA" w:rsidRDefault="00F4792E">
      <w:pPr>
        <w:pStyle w:val="berschrift1"/>
      </w:pPr>
      <w:r>
        <w:rPr>
          <w:rFonts w:ascii="Open Sans" w:hAnsi="Open Sans"/>
          <w:lang w:val="en-US"/>
        </w:rPr>
        <w:t>Reproducibility reviewer notes</w:t>
      </w:r>
    </w:p>
    <w:p w14:paraId="14369194" w14:textId="77777777" w:rsidR="004D35BA" w:rsidRDefault="00F4792E">
      <w:r>
        <w:rPr>
          <w:rFonts w:ascii="Open Sans" w:hAnsi="Open Sans"/>
          <w:lang w:val="en-US"/>
        </w:rPr>
        <w:t xml:space="preserve">Starting point of the review was the authors’ GitHub repository: </w:t>
      </w:r>
      <w:hyperlink r:id="rId11" w:history="1">
        <w:r>
          <w:rPr>
            <w:rStyle w:val="Hyperlink"/>
            <w:rFonts w:ascii="Open Sans" w:hAnsi="Open Sans"/>
            <w:lang w:val="en-US"/>
          </w:rPr>
          <w:t>https://github.com/rruiz-s/agile-gscience-2024-rs-flood</w:t>
        </w:r>
      </w:hyperlink>
      <w:r>
        <w:rPr>
          <w:rFonts w:ascii="Open Sans" w:hAnsi="Open Sans"/>
          <w:lang w:val="en-US"/>
        </w:rPr>
        <w:t xml:space="preserve">. At the time when the reproducibility review was initiated, the R markdown file in version 0 (quarto_script_rs_paper_v0.Rmd) was available alongside the data used in the analysis and figures included in the paper.  The SQL statements for the preprocessing done openrouteservice were initially not provided – therefore, the reviewer decided to attempt a partial reproduction of the analysis part only. </w:t>
      </w:r>
    </w:p>
    <w:p w14:paraId="14369195" w14:textId="77777777" w:rsidR="004D35BA" w:rsidRDefault="004D35BA">
      <w:pPr>
        <w:rPr>
          <w:rFonts w:ascii="Open Sans" w:hAnsi="Open Sans"/>
          <w:lang w:val="en-US"/>
        </w:rPr>
      </w:pPr>
    </w:p>
    <w:p w14:paraId="14369196" w14:textId="77777777" w:rsidR="004D35BA" w:rsidRDefault="00F4792E">
      <w:pPr>
        <w:pStyle w:val="berschrift2"/>
      </w:pPr>
      <w:r>
        <w:rPr>
          <w:rFonts w:ascii="Open Sans" w:hAnsi="Open Sans"/>
          <w:lang w:val="en-US"/>
        </w:rPr>
        <w:t>Installation prerequisites and computational environment</w:t>
      </w:r>
    </w:p>
    <w:p w14:paraId="14369197" w14:textId="77777777" w:rsidR="004D35BA" w:rsidRDefault="00F4792E">
      <w:pPr>
        <w:rPr>
          <w:rFonts w:ascii="Open Sans" w:hAnsi="Open Sans"/>
          <w:lang w:val="en-US"/>
        </w:rPr>
      </w:pPr>
      <w:r>
        <w:rPr>
          <w:rFonts w:ascii="Open Sans" w:hAnsi="Open Sans"/>
          <w:lang w:val="en-US"/>
        </w:rPr>
        <w:t>The reproduction was done on a HP EliteBook 845 G7 Notebook PC with Windows 10. RStudio was installed in version 2024.12.1; QGIS in version 3.40.4-Bratislava.</w:t>
      </w:r>
    </w:p>
    <w:p w14:paraId="14369198" w14:textId="77777777" w:rsidR="004D35BA" w:rsidRDefault="004D35BA">
      <w:pPr>
        <w:rPr>
          <w:rFonts w:ascii="Open Sans" w:hAnsi="Open Sans"/>
          <w:lang w:val="en-US"/>
        </w:rPr>
      </w:pPr>
    </w:p>
    <w:p w14:paraId="14369199" w14:textId="77777777" w:rsidR="004D35BA" w:rsidRDefault="00F4792E">
      <w:pPr>
        <w:pStyle w:val="berschrift2"/>
      </w:pPr>
      <w:r>
        <w:rPr>
          <w:rFonts w:ascii="Open Sans" w:hAnsi="Open Sans"/>
          <w:lang w:val="en-US"/>
        </w:rPr>
        <w:t>Data preparation</w:t>
      </w:r>
    </w:p>
    <w:p w14:paraId="1436919A" w14:textId="77777777" w:rsidR="004D35BA" w:rsidRDefault="00F4792E">
      <w:pPr>
        <w:rPr>
          <w:rFonts w:ascii="Open Sans" w:hAnsi="Open Sans"/>
          <w:lang w:val="en-US"/>
        </w:rPr>
      </w:pPr>
      <w:r>
        <w:rPr>
          <w:rFonts w:ascii="Open Sans" w:hAnsi="Open Sans"/>
          <w:lang w:val="en-US"/>
        </w:rPr>
        <w:t>All data required for the analysis are provided by the authors. Some datasets are temporary data (in folder temp_data), others are results (in folder results_data).  Data used for creating the maps in QGIS are provided as geopackages .gpkg files.</w:t>
      </w:r>
    </w:p>
    <w:p w14:paraId="1436919B" w14:textId="77777777" w:rsidR="004D35BA" w:rsidRDefault="004D35BA">
      <w:pPr>
        <w:rPr>
          <w:rFonts w:ascii="Open Sans" w:hAnsi="Open Sans"/>
          <w:lang w:val="en-US"/>
        </w:rPr>
      </w:pPr>
    </w:p>
    <w:p w14:paraId="1436919C" w14:textId="77777777" w:rsidR="004D35BA" w:rsidRDefault="00F4792E">
      <w:pPr>
        <w:pStyle w:val="berschrift2"/>
        <w:rPr>
          <w:rFonts w:ascii="Open Sans" w:hAnsi="Open Sans"/>
          <w:lang w:val="en-US"/>
        </w:rPr>
      </w:pPr>
      <w:r>
        <w:rPr>
          <w:rFonts w:ascii="Open Sans" w:hAnsi="Open Sans"/>
          <w:lang w:val="en-US"/>
        </w:rPr>
        <w:lastRenderedPageBreak/>
        <w:t>Running the code</w:t>
      </w:r>
    </w:p>
    <w:p w14:paraId="1436919D" w14:textId="77777777" w:rsidR="004D35BA" w:rsidRDefault="00F4792E">
      <w:pPr>
        <w:rPr>
          <w:rFonts w:ascii="Open Sans" w:hAnsi="Open Sans"/>
          <w:lang w:val="en-US"/>
        </w:rPr>
      </w:pPr>
      <w:r>
        <w:rPr>
          <w:rFonts w:ascii="Open Sans" w:hAnsi="Open Sans"/>
          <w:lang w:val="en-US"/>
        </w:rPr>
        <w:t xml:space="preserve">After setting the working directory for R, loading libraries that were used, the reviewer tried to run the R </w:t>
      </w:r>
      <w:r>
        <w:rPr>
          <w:rFonts w:ascii="Open Sans" w:hAnsi="Open Sans"/>
          <w:lang w:val="en-US"/>
        </w:rPr>
        <w:t xml:space="preserve">Markdown file (quarto_script_rs_paper_v0.Rmd) step by step. Execution worked until the first used of the flood_extend geometry using the sf package: </w:t>
      </w:r>
    </w:p>
    <w:p w14:paraId="1436919E" w14:textId="77777777" w:rsidR="004D35BA" w:rsidRDefault="00F4792E">
      <w:pPr>
        <w:rPr>
          <w:rFonts w:ascii="Courier New" w:hAnsi="Courier New" w:cs="Courier New"/>
          <w:lang w:val="en-US"/>
        </w:rPr>
      </w:pPr>
      <w:r>
        <w:rPr>
          <w:rFonts w:ascii="Courier New" w:hAnsi="Courier New" w:cs="Courier New"/>
          <w:lang w:val="en-US"/>
        </w:rPr>
        <w:t xml:space="preserve">&gt; </w:t>
      </w:r>
      <w:r>
        <w:rPr>
          <w:rFonts w:ascii="Courier New" w:hAnsi="Courier New" w:cs="Courier New"/>
          <w:lang w:val="en-US"/>
        </w:rPr>
        <w:t>units::drop_units(round(st_area(flood_extent$st_union)/10000))</w:t>
      </w:r>
    </w:p>
    <w:p w14:paraId="1436919F" w14:textId="77777777" w:rsidR="004D35BA" w:rsidRDefault="00F4792E">
      <w:pPr>
        <w:rPr>
          <w:rFonts w:ascii="Courier New" w:hAnsi="Courier New" w:cs="Courier New"/>
          <w:lang w:val="en-US"/>
        </w:rPr>
      </w:pPr>
      <w:r>
        <w:rPr>
          <w:rFonts w:ascii="Courier New" w:hAnsi="Courier New" w:cs="Courier New"/>
          <w:lang w:val="en-US"/>
        </w:rPr>
        <w:t>error in UseMethod("st_area") :  not applicable method 'st_area' for an object of class "NULL"</w:t>
      </w:r>
    </w:p>
    <w:p w14:paraId="143691A0" w14:textId="77777777" w:rsidR="004D35BA" w:rsidRDefault="00F4792E">
      <w:pPr>
        <w:rPr>
          <w:rFonts w:ascii="Open Sans" w:hAnsi="Open Sans"/>
          <w:lang w:val="en-US"/>
        </w:rPr>
      </w:pPr>
      <w:r>
        <w:rPr>
          <w:rFonts w:ascii="Open Sans" w:hAnsi="Open Sans"/>
          <w:lang w:val="en-US"/>
        </w:rPr>
        <w:t xml:space="preserve">As the issue could not be solved, the reviewer contacted the author, who instantly provided lines of code to solve the issue: </w:t>
      </w:r>
    </w:p>
    <w:p w14:paraId="143691A1" w14:textId="77777777" w:rsidR="004D35BA" w:rsidRDefault="00F4792E">
      <w:pPr>
        <w:rPr>
          <w:rFonts w:ascii="Courier New" w:hAnsi="Courier New" w:cs="Courier New"/>
          <w:lang w:val="en-US"/>
        </w:rPr>
      </w:pPr>
      <w:r>
        <w:rPr>
          <w:rFonts w:ascii="Courier New" w:hAnsi="Courier New" w:cs="Courier New"/>
          <w:lang w:val="en-US"/>
        </w:rPr>
        <w:t>sf::sf_use_s2(FALSE)</w:t>
      </w:r>
    </w:p>
    <w:p w14:paraId="143691A2" w14:textId="77777777" w:rsidR="004D35BA" w:rsidRDefault="00F4792E">
      <w:pPr>
        <w:rPr>
          <w:rFonts w:ascii="Courier New" w:hAnsi="Courier New" w:cs="Courier New"/>
          <w:lang w:val="en-US"/>
        </w:rPr>
      </w:pPr>
      <w:r>
        <w:rPr>
          <w:rFonts w:ascii="Courier New" w:hAnsi="Courier New" w:cs="Courier New"/>
          <w:lang w:val="en-US"/>
        </w:rPr>
        <w:t>st_area(flood_extent$geom)</w:t>
      </w:r>
    </w:p>
    <w:p w14:paraId="143691A3" w14:textId="77777777" w:rsidR="004D35BA" w:rsidRDefault="00F4792E">
      <w:pPr>
        <w:rPr>
          <w:rFonts w:ascii="Courier New" w:hAnsi="Courier New" w:cs="Courier New"/>
          <w:lang w:val="en-US"/>
        </w:rPr>
      </w:pPr>
      <w:r>
        <w:rPr>
          <w:rFonts w:ascii="Courier New" w:hAnsi="Courier New" w:cs="Courier New"/>
          <w:lang w:val="en-US"/>
        </w:rPr>
        <w:t>units::drop_units(round(st_area(flood_extent$geom)/10000))</w:t>
      </w:r>
    </w:p>
    <w:p w14:paraId="143691A4" w14:textId="77777777" w:rsidR="004D35BA" w:rsidRDefault="00F4792E">
      <w:pPr>
        <w:rPr>
          <w:rFonts w:ascii="Open Sans" w:hAnsi="Open Sans"/>
        </w:rPr>
      </w:pPr>
      <w:r>
        <w:rPr>
          <w:rFonts w:ascii="Open Sans" w:hAnsi="Open Sans"/>
        </w:rPr>
        <w:t xml:space="preserve">The main author of the paper also provided a revised R markdown file that includes additional changes to avoid erros like the one above (quarto_script_rs_paper_v2.Rmd), now includes a dedicated section for loading libraries and the input data which highly appreciated. The updated file is now available on the authors’ GitHub repository and runs through smoothly. Also, knitting the PDF from the Markdown file works as documented by the knitted PDFs shared by the authors (quarto_script_rs_paper_v2.pdf). </w:t>
      </w:r>
    </w:p>
    <w:p w14:paraId="143691A5" w14:textId="77777777" w:rsidR="004D35BA" w:rsidRDefault="004D35BA">
      <w:pPr>
        <w:rPr>
          <w:rFonts w:ascii="Open Sans" w:hAnsi="Open Sans"/>
        </w:rPr>
      </w:pPr>
    </w:p>
    <w:p w14:paraId="143691A6" w14:textId="77777777" w:rsidR="004D35BA" w:rsidRDefault="00F4792E">
      <w:pPr>
        <w:pStyle w:val="berschrift2"/>
      </w:pPr>
      <w:r>
        <w:rPr>
          <w:rFonts w:ascii="Open Sans" w:hAnsi="Open Sans"/>
          <w:lang w:val="en-US"/>
        </w:rPr>
        <w:t>Outputs and results</w:t>
      </w:r>
    </w:p>
    <w:p w14:paraId="143691A7" w14:textId="77777777" w:rsidR="004D35BA" w:rsidRDefault="00F4792E">
      <w:pPr>
        <w:rPr>
          <w:rFonts w:ascii="Open Sans" w:hAnsi="Open Sans"/>
          <w:lang w:val="en-US"/>
        </w:rPr>
      </w:pPr>
      <w:r>
        <w:rPr>
          <w:rFonts w:ascii="Open Sans" w:hAnsi="Open Sans"/>
          <w:lang w:val="en-US"/>
        </w:rPr>
        <w:t xml:space="preserve">The reviewer could successfully run the code of the revised Markdown file provided and generate a PDF file of the paper from the Markdown file. </w:t>
      </w:r>
    </w:p>
    <w:p w14:paraId="143691A8" w14:textId="77777777" w:rsidR="004D35BA" w:rsidRDefault="00F4792E">
      <w:pPr>
        <w:rPr>
          <w:rFonts w:ascii="Open Sans" w:hAnsi="Open Sans"/>
          <w:lang w:val="en-US"/>
        </w:rPr>
      </w:pPr>
      <w:r>
        <w:rPr>
          <w:rFonts w:ascii="Open Sans" w:hAnsi="Open Sans"/>
          <w:lang w:val="en-US"/>
        </w:rPr>
        <w:t xml:space="preserve">Regarding maps, the following figures were compared with the input data provided by the authors and although the exact colors etc. were not set-up in QGIS, the reviewer states that all data are available for creating the maps shown in file: </w:t>
      </w:r>
    </w:p>
    <w:p w14:paraId="143691A9" w14:textId="77777777" w:rsidR="004D35BA" w:rsidRDefault="00F4792E">
      <w:pPr>
        <w:pStyle w:val="Listenabsatz"/>
        <w:numPr>
          <w:ilvl w:val="0"/>
          <w:numId w:val="1"/>
        </w:numPr>
        <w:rPr>
          <w:rFonts w:ascii="Open Sans" w:hAnsi="Open Sans"/>
          <w:lang w:val="en-US"/>
        </w:rPr>
      </w:pPr>
      <w:r>
        <w:rPr>
          <w:rFonts w:ascii="Open Sans" w:hAnsi="Open Sans"/>
          <w:lang w:val="en-US"/>
        </w:rPr>
        <w:t>Area_study_v7.png</w:t>
      </w:r>
    </w:p>
    <w:p w14:paraId="143691AA" w14:textId="77777777" w:rsidR="004D35BA" w:rsidRDefault="00F4792E">
      <w:pPr>
        <w:pStyle w:val="Listenabsatz"/>
        <w:numPr>
          <w:ilvl w:val="0"/>
          <w:numId w:val="1"/>
        </w:numPr>
        <w:rPr>
          <w:rFonts w:ascii="Open Sans" w:hAnsi="Open Sans"/>
          <w:lang w:val="en-US"/>
        </w:rPr>
      </w:pPr>
      <w:r>
        <w:rPr>
          <w:rFonts w:ascii="Open Sans" w:hAnsi="Open Sans"/>
          <w:lang w:val="en-US"/>
        </w:rPr>
        <w:t>Pre_gc_map_v7.png</w:t>
      </w:r>
    </w:p>
    <w:p w14:paraId="143691AB" w14:textId="77777777" w:rsidR="004D35BA" w:rsidRDefault="00F4792E">
      <w:pPr>
        <w:pStyle w:val="Listenabsatz"/>
        <w:numPr>
          <w:ilvl w:val="0"/>
          <w:numId w:val="1"/>
        </w:numPr>
        <w:rPr>
          <w:rFonts w:ascii="Open Sans" w:hAnsi="Open Sans"/>
          <w:lang w:val="en-US"/>
        </w:rPr>
      </w:pPr>
      <w:r>
        <w:rPr>
          <w:rFonts w:ascii="Open Sans" w:hAnsi="Open Sans"/>
          <w:lang w:val="en-US"/>
        </w:rPr>
        <w:t>Snapping_point_isochrone_v5.png</w:t>
      </w:r>
    </w:p>
    <w:p w14:paraId="143691AC" w14:textId="77777777" w:rsidR="004D35BA" w:rsidRDefault="00F4792E">
      <w:pPr>
        <w:pStyle w:val="Listenabsatz"/>
        <w:numPr>
          <w:ilvl w:val="0"/>
          <w:numId w:val="1"/>
        </w:numPr>
        <w:rPr>
          <w:rFonts w:ascii="Open Sans" w:hAnsi="Open Sans"/>
          <w:lang w:val="en-US"/>
        </w:rPr>
      </w:pPr>
      <w:r>
        <w:rPr>
          <w:rFonts w:ascii="Open Sans" w:hAnsi="Open Sans"/>
          <w:lang w:val="en-US"/>
        </w:rPr>
        <w:t>Weight_sampling_osm_v2.png</w:t>
      </w:r>
    </w:p>
    <w:p w14:paraId="143691AD" w14:textId="77777777" w:rsidR="004D35BA" w:rsidRDefault="00F4792E">
      <w:pPr>
        <w:rPr>
          <w:rFonts w:ascii="Open Sans" w:hAnsi="Open Sans"/>
          <w:lang w:val="en-US"/>
        </w:rPr>
      </w:pPr>
      <w:r>
        <w:rPr>
          <w:rFonts w:ascii="Open Sans" w:hAnsi="Open Sans"/>
          <w:lang w:val="en-US"/>
        </w:rPr>
        <w:t xml:space="preserve">There are three figures that could not be reproduced from a script directly: </w:t>
      </w:r>
    </w:p>
    <w:p w14:paraId="143691AE" w14:textId="77777777" w:rsidR="004D35BA" w:rsidRDefault="00F4792E">
      <w:pPr>
        <w:pStyle w:val="Listenabsatz"/>
        <w:numPr>
          <w:ilvl w:val="0"/>
          <w:numId w:val="2"/>
        </w:numPr>
        <w:rPr>
          <w:rFonts w:ascii="Open Sans" w:hAnsi="Open Sans"/>
          <w:lang w:val="en-US"/>
        </w:rPr>
      </w:pPr>
      <w:r>
        <w:rPr>
          <w:rFonts w:ascii="Open Sans" w:hAnsi="Open Sans"/>
          <w:lang w:val="en-US"/>
        </w:rPr>
        <w:t>Research_design_v6.png (workflow documentation)</w:t>
      </w:r>
    </w:p>
    <w:p w14:paraId="143691AF" w14:textId="77777777" w:rsidR="004D35BA" w:rsidRDefault="00F4792E">
      <w:pPr>
        <w:pStyle w:val="Listenabsatz"/>
        <w:numPr>
          <w:ilvl w:val="0"/>
          <w:numId w:val="2"/>
        </w:numPr>
        <w:rPr>
          <w:rFonts w:ascii="Open Sans" w:hAnsi="Open Sans"/>
          <w:lang w:val="en-US"/>
        </w:rPr>
      </w:pPr>
      <w:r>
        <w:rPr>
          <w:rFonts w:ascii="Open Sans" w:hAnsi="Open Sans"/>
          <w:lang w:val="en-US"/>
        </w:rPr>
        <w:t>Rq1_gc_flow_results_v7.png</w:t>
      </w:r>
    </w:p>
    <w:p w14:paraId="143691B0" w14:textId="77777777" w:rsidR="004D35BA" w:rsidRDefault="00F4792E">
      <w:pPr>
        <w:pStyle w:val="Listenabsatz"/>
        <w:numPr>
          <w:ilvl w:val="0"/>
          <w:numId w:val="2"/>
        </w:numPr>
        <w:rPr>
          <w:rFonts w:ascii="Open Sans" w:hAnsi="Open Sans"/>
          <w:lang w:val="en-US"/>
        </w:rPr>
      </w:pPr>
      <w:r>
        <w:rPr>
          <w:rFonts w:ascii="Open Sans" w:hAnsi="Open Sans"/>
          <w:lang w:val="en-US"/>
        </w:rPr>
        <w:t xml:space="preserve">Rq3_v6.png </w:t>
      </w:r>
    </w:p>
    <w:p w14:paraId="143691B1" w14:textId="77777777" w:rsidR="004D35BA" w:rsidRDefault="00F4792E">
      <w:pPr>
        <w:rPr>
          <w:rFonts w:ascii="Open Sans" w:hAnsi="Open Sans"/>
          <w:lang w:val="en-US"/>
        </w:rPr>
      </w:pPr>
      <w:r>
        <w:rPr>
          <w:rFonts w:ascii="Open Sans" w:hAnsi="Open Sans"/>
          <w:lang w:val="en-US"/>
        </w:rPr>
        <w:t>For the research design the reasons are obvious; the other two figures might even have been prepared in R but the reviewer is unsure about that. ADDITION: the authors confirmed that the figures have been prepared in R and edited with Inkscape.</w:t>
      </w:r>
    </w:p>
    <w:p w14:paraId="143691B2" w14:textId="77777777" w:rsidR="004D35BA" w:rsidRDefault="00F4792E">
      <w:pPr>
        <w:pStyle w:val="berschrift2"/>
        <w:rPr>
          <w:rFonts w:ascii="Open Sans" w:hAnsi="Open Sans"/>
          <w:lang w:val="en-US"/>
        </w:rPr>
      </w:pPr>
      <w:r>
        <w:rPr>
          <w:rFonts w:ascii="Open Sans" w:hAnsi="Open Sans"/>
          <w:lang w:val="en-US"/>
        </w:rPr>
        <w:lastRenderedPageBreak/>
        <w:t>Additional Observations</w:t>
      </w:r>
    </w:p>
    <w:p w14:paraId="143691B3" w14:textId="77777777" w:rsidR="004D35BA" w:rsidRDefault="00F4792E">
      <w:pPr>
        <w:rPr>
          <w:rFonts w:ascii="Open Sans" w:hAnsi="Open Sans"/>
          <w:lang w:val="en-US"/>
        </w:rPr>
      </w:pPr>
      <w:r>
        <w:rPr>
          <w:rFonts w:ascii="Open Sans" w:hAnsi="Open Sans"/>
          <w:lang w:val="en-US"/>
        </w:rPr>
        <w:t xml:space="preserve">The reproduction focused on the analysis part presented in the paper and given the good cooperation with the authors, this part can now be fully reproduced with the material provided in the GitHub repository. </w:t>
      </w:r>
    </w:p>
    <w:p w14:paraId="143691B4" w14:textId="77777777" w:rsidR="004D35BA" w:rsidRDefault="00F4792E">
      <w:pPr>
        <w:rPr>
          <w:rFonts w:ascii="Open Sans" w:hAnsi="Open Sans"/>
          <w:lang w:val="en-US"/>
        </w:rPr>
      </w:pPr>
      <w:r>
        <w:rPr>
          <w:rFonts w:ascii="Open Sans" w:hAnsi="Open Sans"/>
          <w:lang w:val="en-US"/>
        </w:rPr>
        <w:t xml:space="preserve">The authors also made additional changes during the reproducibility review. The GitHub repository now includes the Docker settings for the openrouteservice docker used. Also, SQL scripts are now included that allow the review of what has been done in terms of data preprocessing in openrouteservice. This part of the research remains to be checked for reproducibility. </w:t>
      </w:r>
    </w:p>
    <w:p w14:paraId="143691B5" w14:textId="77777777" w:rsidR="004D35BA" w:rsidRDefault="00F4792E">
      <w:pPr>
        <w:pStyle w:val="berschrift1"/>
      </w:pPr>
      <w:r>
        <w:rPr>
          <w:rFonts w:ascii="Open Sans" w:hAnsi="Open Sans"/>
          <w:lang w:val="en-US"/>
        </w:rPr>
        <w:t>Acknowledgements</w:t>
      </w:r>
    </w:p>
    <w:p w14:paraId="143691B6" w14:textId="77777777" w:rsidR="004D35BA" w:rsidRDefault="00F4792E">
      <w:r>
        <w:rPr>
          <w:rFonts w:ascii="Open Sans" w:hAnsi="Open Sans"/>
          <w:lang w:val="en-US"/>
        </w:rPr>
        <w:t>Daniel Nüst, the reproducibility chair of the AGILE GIScience conference, supported this review with excellent guidance through the review process and support whenever needed.</w:t>
      </w:r>
    </w:p>
    <w:p w14:paraId="143691B7" w14:textId="77777777" w:rsidR="004D35BA" w:rsidRDefault="00F4792E">
      <w:pPr>
        <w:pStyle w:val="berschrift1"/>
      </w:pPr>
      <w:r>
        <w:rPr>
          <w:rFonts w:ascii="Open Sans" w:hAnsi="Open Sans"/>
          <w:lang w:val="en-US"/>
        </w:rPr>
        <w:t>Citing this document</w:t>
      </w:r>
    </w:p>
    <w:p w14:paraId="143691B8" w14:textId="77777777" w:rsidR="004D35BA" w:rsidRDefault="00F4792E">
      <w:r>
        <w:rPr>
          <w:rFonts w:ascii="Open Sans" w:hAnsi="Open Sans"/>
        </w:rPr>
        <w:t xml:space="preserve">This report is part of the reproducibility review at the AGILE conference. For more information see </w:t>
      </w:r>
      <w:hyperlink r:id="rId12" w:history="1">
        <w:r>
          <w:rPr>
            <w:rStyle w:val="Hyperlink"/>
            <w:rFonts w:ascii="Open Sans" w:hAnsi="Open Sans"/>
          </w:rPr>
          <w:t>https://reproducible-agile.github.io/</w:t>
        </w:r>
      </w:hyperlink>
      <w:r>
        <w:rPr>
          <w:rFonts w:ascii="Open Sans" w:hAnsi="Open Sans"/>
        </w:rPr>
        <w:t xml:space="preserve">. This document is published on </w:t>
      </w:r>
      <w:r>
        <w:rPr>
          <w:rFonts w:ascii="Open Sans" w:hAnsi="Open Sans"/>
          <w:shd w:val="clear" w:color="auto" w:fill="FFFF00"/>
        </w:rPr>
        <w:t>OSF/RE at OSF/RE DOI HERE.</w:t>
      </w:r>
    </w:p>
    <w:p w14:paraId="143691B9" w14:textId="77777777" w:rsidR="004D35BA" w:rsidRDefault="00F4792E">
      <w:pPr>
        <w:rPr>
          <w:rFonts w:ascii="Open Sans" w:hAnsi="Open Sans"/>
          <w:shd w:val="clear" w:color="auto" w:fill="FFFF00"/>
        </w:rPr>
      </w:pPr>
      <w:r>
        <w:rPr>
          <w:rFonts w:ascii="Open Sans" w:hAnsi="Open Sans"/>
          <w:shd w:val="clear" w:color="auto" w:fill="FFFF00"/>
        </w:rPr>
        <w:t>To cite the report use</w:t>
      </w:r>
    </w:p>
    <w:p w14:paraId="143691BA" w14:textId="77777777" w:rsidR="004D35BA" w:rsidRDefault="00F4792E">
      <w:r>
        <w:rPr>
          <w:rFonts w:ascii="Open Sans" w:hAnsi="Open Sans"/>
          <w:i/>
          <w:iCs/>
          <w:shd w:val="clear" w:color="auto" w:fill="FFFF00"/>
        </w:rPr>
        <w:tab/>
        <w:t>[include DOI, see summary table]</w:t>
      </w:r>
    </w:p>
    <w:sectPr w:rsidR="004D35BA">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369172" w14:textId="77777777" w:rsidR="00F4792E" w:rsidRDefault="00F4792E">
      <w:pPr>
        <w:spacing w:after="0" w:line="240" w:lineRule="auto"/>
      </w:pPr>
      <w:r>
        <w:separator/>
      </w:r>
    </w:p>
  </w:endnote>
  <w:endnote w:type="continuationSeparator" w:id="0">
    <w:p w14:paraId="14369174" w14:textId="77777777" w:rsidR="00F4792E" w:rsidRDefault="00F47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Liberation Sans">
    <w:charset w:val="00"/>
    <w:family w:val="roman"/>
    <w:pitch w:val="variable"/>
  </w:font>
  <w:font w:name="Noto Sans CJK SC">
    <w:charset w:val="00"/>
    <w:family w:val="roman"/>
    <w:pitch w:val="default"/>
  </w:font>
  <w:font w:name="Lohit Devanagari">
    <w:charset w:val="00"/>
    <w:family w:val="roman"/>
    <w:pitch w:val="default"/>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36916E" w14:textId="77777777" w:rsidR="00F4792E" w:rsidRDefault="00F4792E">
      <w:pPr>
        <w:spacing w:after="0" w:line="240" w:lineRule="auto"/>
      </w:pPr>
      <w:r>
        <w:rPr>
          <w:color w:val="000000"/>
        </w:rPr>
        <w:separator/>
      </w:r>
    </w:p>
  </w:footnote>
  <w:footnote w:type="continuationSeparator" w:id="0">
    <w:p w14:paraId="14369170" w14:textId="77777777" w:rsidR="00F4792E" w:rsidRDefault="00F479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E14734"/>
    <w:multiLevelType w:val="multilevel"/>
    <w:tmpl w:val="D574678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4DFE462B"/>
    <w:multiLevelType w:val="multilevel"/>
    <w:tmpl w:val="2372533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1936017200">
    <w:abstractNumId w:val="1"/>
  </w:num>
  <w:num w:numId="2" w16cid:durableId="1433668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4D35BA"/>
    <w:rsid w:val="00376D97"/>
    <w:rsid w:val="004D35BA"/>
    <w:rsid w:val="00F4792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6916C"/>
  <w15:docId w15:val="{0FFE4DFF-B74D-4420-96D0-039717761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kern w:val="3"/>
        <w:sz w:val="22"/>
        <w:szCs w:val="22"/>
        <w:lang w:val="nl-NL" w:eastAsia="en-US" w:bidi="ar-SA"/>
      </w:rPr>
    </w:rPrDefault>
    <w:pPrDefault>
      <w:pPr>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spacing w:after="160" w:line="254" w:lineRule="auto"/>
    </w:pPr>
    <w:rPr>
      <w:rFonts w:ascii="Book Antiqua" w:hAnsi="Book Antiqua"/>
    </w:rPr>
  </w:style>
  <w:style w:type="paragraph" w:styleId="berschrift1">
    <w:name w:val="heading 1"/>
    <w:basedOn w:val="Standard"/>
    <w:next w:val="Standard"/>
    <w:uiPriority w:val="9"/>
    <w:qFormat/>
    <w:pPr>
      <w:keepNext/>
      <w:keepLines/>
      <w:spacing w:before="360" w:after="80"/>
      <w:outlineLvl w:val="0"/>
    </w:pPr>
    <w:rPr>
      <w:rFonts w:eastAsia="Aptos Display" w:cs="Aptos Display"/>
      <w:color w:val="0F4761"/>
      <w:sz w:val="40"/>
      <w:szCs w:val="40"/>
    </w:rPr>
  </w:style>
  <w:style w:type="paragraph" w:styleId="berschrift2">
    <w:name w:val="heading 2"/>
    <w:basedOn w:val="Standard"/>
    <w:next w:val="Standard"/>
    <w:uiPriority w:val="9"/>
    <w:unhideWhenUsed/>
    <w:qFormat/>
    <w:pPr>
      <w:keepNext/>
      <w:keepLines/>
      <w:spacing w:before="160" w:after="80"/>
      <w:outlineLvl w:val="1"/>
    </w:pPr>
    <w:rPr>
      <w:rFonts w:eastAsia="Aptos Display" w:cs="Aptos Display"/>
      <w:color w:val="0F4761"/>
      <w:sz w:val="32"/>
      <w:szCs w:val="32"/>
    </w:rPr>
  </w:style>
  <w:style w:type="paragraph" w:styleId="berschrift3">
    <w:name w:val="heading 3"/>
    <w:basedOn w:val="Standard"/>
    <w:next w:val="Standard"/>
    <w:uiPriority w:val="9"/>
    <w:semiHidden/>
    <w:unhideWhenUsed/>
    <w:qFormat/>
    <w:pPr>
      <w:keepNext/>
      <w:keepLines/>
      <w:spacing w:before="160" w:after="80"/>
      <w:outlineLvl w:val="2"/>
    </w:pPr>
    <w:rPr>
      <w:rFonts w:eastAsia="Aptos Display" w:cs="Aptos Display"/>
      <w:color w:val="0F4761"/>
      <w:sz w:val="28"/>
      <w:szCs w:val="28"/>
    </w:rPr>
  </w:style>
  <w:style w:type="paragraph" w:styleId="berschrift4">
    <w:name w:val="heading 4"/>
    <w:basedOn w:val="Standard"/>
    <w:next w:val="Standard"/>
    <w:uiPriority w:val="9"/>
    <w:semiHidden/>
    <w:unhideWhenUsed/>
    <w:qFormat/>
    <w:pPr>
      <w:keepNext/>
      <w:keepLines/>
      <w:spacing w:before="80" w:after="40"/>
      <w:outlineLvl w:val="3"/>
    </w:pPr>
    <w:rPr>
      <w:rFonts w:eastAsia="Aptos Display" w:cs="Aptos Display"/>
      <w:i/>
      <w:iCs/>
      <w:color w:val="0F4761"/>
    </w:rPr>
  </w:style>
  <w:style w:type="paragraph" w:styleId="berschrift5">
    <w:name w:val="heading 5"/>
    <w:basedOn w:val="Standard"/>
    <w:next w:val="Standard"/>
    <w:uiPriority w:val="9"/>
    <w:semiHidden/>
    <w:unhideWhenUsed/>
    <w:qFormat/>
    <w:pPr>
      <w:keepNext/>
      <w:keepLines/>
      <w:spacing w:before="80" w:after="40"/>
      <w:outlineLvl w:val="4"/>
    </w:pPr>
    <w:rPr>
      <w:rFonts w:eastAsia="Aptos Display" w:cs="Aptos Display"/>
      <w:color w:val="0F4761"/>
    </w:rPr>
  </w:style>
  <w:style w:type="paragraph" w:styleId="berschrift6">
    <w:name w:val="heading 6"/>
    <w:basedOn w:val="Standard"/>
    <w:next w:val="Standard"/>
    <w:uiPriority w:val="9"/>
    <w:semiHidden/>
    <w:unhideWhenUsed/>
    <w:qFormat/>
    <w:pPr>
      <w:keepNext/>
      <w:keepLines/>
      <w:spacing w:before="40" w:after="0"/>
      <w:outlineLvl w:val="5"/>
    </w:pPr>
    <w:rPr>
      <w:rFonts w:eastAsia="Aptos Display" w:cs="Aptos Display"/>
      <w:i/>
      <w:iCs/>
      <w:color w:val="595959"/>
    </w:rPr>
  </w:style>
  <w:style w:type="paragraph" w:styleId="berschrift7">
    <w:name w:val="heading 7"/>
    <w:basedOn w:val="Standard"/>
    <w:next w:val="Standard"/>
    <w:pPr>
      <w:keepNext/>
      <w:keepLines/>
      <w:spacing w:before="40" w:after="0"/>
      <w:outlineLvl w:val="6"/>
    </w:pPr>
    <w:rPr>
      <w:rFonts w:eastAsia="Aptos Display" w:cs="Aptos Display"/>
      <w:color w:val="595959"/>
    </w:rPr>
  </w:style>
  <w:style w:type="paragraph" w:styleId="berschrift8">
    <w:name w:val="heading 8"/>
    <w:basedOn w:val="Standard"/>
    <w:next w:val="Standard"/>
    <w:pPr>
      <w:keepNext/>
      <w:keepLines/>
      <w:spacing w:after="0"/>
      <w:outlineLvl w:val="7"/>
    </w:pPr>
    <w:rPr>
      <w:rFonts w:eastAsia="Aptos Display" w:cs="Aptos Display"/>
      <w:i/>
      <w:iCs/>
      <w:color w:val="272727"/>
    </w:rPr>
  </w:style>
  <w:style w:type="paragraph" w:styleId="berschrift9">
    <w:name w:val="heading 9"/>
    <w:basedOn w:val="Standard"/>
    <w:next w:val="Standard"/>
    <w:pPr>
      <w:keepNext/>
      <w:keepLines/>
      <w:spacing w:after="0"/>
      <w:outlineLvl w:val="8"/>
    </w:pPr>
    <w:rPr>
      <w:rFonts w:eastAsia="Aptos Display" w:cs="Aptos Display"/>
      <w:color w:val="2727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rPr>
      <w:rFonts w:ascii="Book Antiqua" w:eastAsia="Aptos Display" w:hAnsi="Book Antiqua" w:cs="Aptos Display"/>
      <w:color w:val="0F4761"/>
      <w:sz w:val="40"/>
      <w:szCs w:val="40"/>
    </w:rPr>
  </w:style>
  <w:style w:type="character" w:customStyle="1" w:styleId="berschrift2Zchn">
    <w:name w:val="Überschrift 2 Zchn"/>
    <w:basedOn w:val="Absatz-Standardschriftart"/>
    <w:rPr>
      <w:rFonts w:ascii="Book Antiqua" w:eastAsia="Aptos Display" w:hAnsi="Book Antiqua" w:cs="Aptos Display"/>
      <w:color w:val="0F4761"/>
      <w:sz w:val="32"/>
      <w:szCs w:val="32"/>
    </w:rPr>
  </w:style>
  <w:style w:type="character" w:customStyle="1" w:styleId="berschrift3Zchn">
    <w:name w:val="Überschrift 3 Zchn"/>
    <w:basedOn w:val="Absatz-Standardschriftart"/>
    <w:rPr>
      <w:rFonts w:eastAsia="Aptos Display" w:cs="Aptos Display"/>
      <w:color w:val="0F4761"/>
      <w:sz w:val="28"/>
      <w:szCs w:val="28"/>
    </w:rPr>
  </w:style>
  <w:style w:type="character" w:customStyle="1" w:styleId="berschrift4Zchn">
    <w:name w:val="Überschrift 4 Zchn"/>
    <w:basedOn w:val="Absatz-Standardschriftart"/>
    <w:rPr>
      <w:rFonts w:eastAsia="Aptos Display" w:cs="Aptos Display"/>
      <w:i/>
      <w:iCs/>
      <w:color w:val="0F4761"/>
    </w:rPr>
  </w:style>
  <w:style w:type="character" w:customStyle="1" w:styleId="berschrift5Zchn">
    <w:name w:val="Überschrift 5 Zchn"/>
    <w:basedOn w:val="Absatz-Standardschriftart"/>
    <w:rPr>
      <w:rFonts w:eastAsia="Aptos Display" w:cs="Aptos Display"/>
      <w:color w:val="0F4761"/>
    </w:rPr>
  </w:style>
  <w:style w:type="character" w:customStyle="1" w:styleId="berschrift6Zchn">
    <w:name w:val="Überschrift 6 Zchn"/>
    <w:basedOn w:val="Absatz-Standardschriftart"/>
    <w:rPr>
      <w:rFonts w:eastAsia="Aptos Display" w:cs="Aptos Display"/>
      <w:i/>
      <w:iCs/>
      <w:color w:val="595959"/>
    </w:rPr>
  </w:style>
  <w:style w:type="character" w:customStyle="1" w:styleId="berschrift7Zchn">
    <w:name w:val="Überschrift 7 Zchn"/>
    <w:basedOn w:val="Absatz-Standardschriftart"/>
    <w:rPr>
      <w:rFonts w:eastAsia="Aptos Display" w:cs="Aptos Display"/>
      <w:color w:val="595959"/>
    </w:rPr>
  </w:style>
  <w:style w:type="character" w:customStyle="1" w:styleId="berschrift8Zchn">
    <w:name w:val="Überschrift 8 Zchn"/>
    <w:basedOn w:val="Absatz-Standardschriftart"/>
    <w:rPr>
      <w:rFonts w:eastAsia="Aptos Display" w:cs="Aptos Display"/>
      <w:i/>
      <w:iCs/>
      <w:color w:val="272727"/>
    </w:rPr>
  </w:style>
  <w:style w:type="character" w:customStyle="1" w:styleId="berschrift9Zchn">
    <w:name w:val="Überschrift 9 Zchn"/>
    <w:basedOn w:val="Absatz-Standardschriftart"/>
    <w:rPr>
      <w:rFonts w:eastAsia="Aptos Display" w:cs="Aptos Display"/>
      <w:color w:val="272727"/>
    </w:rPr>
  </w:style>
  <w:style w:type="character" w:customStyle="1" w:styleId="TitelZchn">
    <w:name w:val="Titel Zchn"/>
    <w:basedOn w:val="Absatz-Standardschriftart"/>
    <w:rPr>
      <w:rFonts w:ascii="Book Antiqua" w:eastAsia="Aptos Display" w:hAnsi="Book Antiqua" w:cs="Aptos Display"/>
      <w:spacing w:val="-10"/>
      <w:kern w:val="3"/>
      <w:sz w:val="56"/>
      <w:szCs w:val="56"/>
    </w:rPr>
  </w:style>
  <w:style w:type="character" w:customStyle="1" w:styleId="UntertitelZchn">
    <w:name w:val="Untertitel Zchn"/>
    <w:basedOn w:val="Absatz-Standardschriftart"/>
    <w:rPr>
      <w:rFonts w:eastAsia="Aptos Display" w:cs="Aptos Display"/>
      <w:color w:val="595959"/>
      <w:spacing w:val="15"/>
      <w:sz w:val="28"/>
      <w:szCs w:val="28"/>
    </w:rPr>
  </w:style>
  <w:style w:type="character" w:customStyle="1" w:styleId="ZitatZchn">
    <w:name w:val="Zitat Zchn"/>
    <w:basedOn w:val="Absatz-Standardschriftart"/>
    <w:rPr>
      <w:i/>
      <w:iCs/>
      <w:color w:val="404040"/>
    </w:rPr>
  </w:style>
  <w:style w:type="character" w:styleId="IntensiveHervorhebung">
    <w:name w:val="Intense Emphasis"/>
    <w:basedOn w:val="Absatz-Standardschriftart"/>
    <w:rPr>
      <w:i/>
      <w:iCs/>
      <w:color w:val="0F4761"/>
    </w:rPr>
  </w:style>
  <w:style w:type="character" w:customStyle="1" w:styleId="IntensivesZitatZchn">
    <w:name w:val="Intensives Zitat Zchn"/>
    <w:basedOn w:val="Absatz-Standardschriftart"/>
    <w:rPr>
      <w:i/>
      <w:iCs/>
      <w:color w:val="0F4761"/>
    </w:rPr>
  </w:style>
  <w:style w:type="character" w:styleId="IntensiverVerweis">
    <w:name w:val="Intense Reference"/>
    <w:basedOn w:val="Absatz-Standardschriftart"/>
    <w:rPr>
      <w:b/>
      <w:bCs/>
      <w:smallCaps/>
      <w:color w:val="0F4761"/>
      <w:spacing w:val="5"/>
    </w:rPr>
  </w:style>
  <w:style w:type="character" w:styleId="Hyperlink">
    <w:name w:val="Hyperlink"/>
    <w:rPr>
      <w:color w:val="000080"/>
      <w:u w:val="single"/>
    </w:rPr>
  </w:style>
  <w:style w:type="paragraph" w:customStyle="1" w:styleId="Heading">
    <w:name w:val="Heading"/>
    <w:basedOn w:val="Standard"/>
    <w:next w:val="Textkrper"/>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rPr>
  </w:style>
  <w:style w:type="paragraph" w:styleId="Titel">
    <w:name w:val="Title"/>
    <w:basedOn w:val="Standard"/>
    <w:next w:val="Standard"/>
    <w:uiPriority w:val="10"/>
    <w:qFormat/>
    <w:pPr>
      <w:spacing w:after="80" w:line="240" w:lineRule="auto"/>
      <w:contextualSpacing/>
    </w:pPr>
    <w:rPr>
      <w:rFonts w:eastAsia="Aptos Display" w:cs="Aptos Display"/>
      <w:spacing w:val="-10"/>
      <w:sz w:val="56"/>
      <w:szCs w:val="56"/>
    </w:rPr>
  </w:style>
  <w:style w:type="paragraph" w:styleId="Untertitel">
    <w:name w:val="Subtitle"/>
    <w:basedOn w:val="Standard"/>
    <w:next w:val="Standard"/>
    <w:uiPriority w:val="11"/>
    <w:qFormat/>
    <w:rPr>
      <w:rFonts w:eastAsia="Aptos Display" w:cs="Aptos Display"/>
      <w:color w:val="595959"/>
      <w:spacing w:val="15"/>
      <w:sz w:val="28"/>
      <w:szCs w:val="28"/>
    </w:rPr>
  </w:style>
  <w:style w:type="paragraph" w:styleId="Zitat">
    <w:name w:val="Quote"/>
    <w:basedOn w:val="Standard"/>
    <w:next w:val="Standard"/>
    <w:pPr>
      <w:spacing w:before="160"/>
      <w:jc w:val="center"/>
    </w:pPr>
    <w:rPr>
      <w:i/>
      <w:iCs/>
      <w:color w:val="404040"/>
    </w:rPr>
  </w:style>
  <w:style w:type="paragraph" w:styleId="Listenabsatz">
    <w:name w:val="List Paragraph"/>
    <w:basedOn w:val="Standard"/>
    <w:pPr>
      <w:ind w:left="720"/>
      <w:contextualSpacing/>
    </w:pPr>
  </w:style>
  <w:style w:type="paragraph" w:styleId="IntensivesZitat">
    <w:name w:val="Intense Quote"/>
    <w:basedOn w:val="Standard"/>
    <w:next w:val="Standard"/>
    <w:pPr>
      <w:pBdr>
        <w:top w:val="single" w:sz="4" w:space="10" w:color="0F4761"/>
        <w:bottom w:val="single" w:sz="4" w:space="10" w:color="0F4761"/>
      </w:pBdr>
      <w:spacing w:before="360" w:after="360"/>
      <w:ind w:left="864" w:right="864"/>
      <w:jc w:val="center"/>
    </w:pPr>
    <w:rPr>
      <w:i/>
      <w:iCs/>
      <w:color w:val="0F4761"/>
    </w:rPr>
  </w:style>
  <w:style w:type="character" w:styleId="NichtaufgelsteErwhnung">
    <w:name w:val="Unresolved Mention"/>
    <w:basedOn w:val="Absatz-Standardschriftar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rruiz-s/agile-gscience-2024-rs-floo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reproducible-agile.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ruiz-s/agile-gscience-2024-rs-flood" TargetMode="External"/><Relationship Id="rId5" Type="http://schemas.openxmlformats.org/officeDocument/2006/relationships/footnotes" Target="footnotes.xml"/><Relationship Id="rId10" Type="http://schemas.openxmlformats.org/officeDocument/2006/relationships/hyperlink" Target="https://github.com/rruiz-s/agile-gscience-2024-rs-flood" TargetMode="External"/><Relationship Id="rId4" Type="http://schemas.openxmlformats.org/officeDocument/2006/relationships/webSettings" Target="webSettings.xml"/><Relationship Id="rId9" Type="http://schemas.openxmlformats.org/officeDocument/2006/relationships/hyperlink" Target="https://openrouteservice.org/"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867</Words>
  <Characters>5469</Characters>
  <Application>Microsoft Office Word</Application>
  <DocSecurity>0</DocSecurity>
  <Lines>45</Lines>
  <Paragraphs>12</Paragraphs>
  <ScaleCrop>false</ScaleCrop>
  <Company>PLUS</Company>
  <LinksUpToDate>false</LinksUpToDate>
  <CharactersWithSpaces>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Ostermann, Frank (UT-ITC)</dc:creator>
  <dc:description/>
  <cp:lastModifiedBy>Schernthanner-Hofer Barbara</cp:lastModifiedBy>
  <cp:revision>2</cp:revision>
  <dcterms:created xsi:type="dcterms:W3CDTF">2025-05-06T09:01:00Z</dcterms:created>
  <dcterms:modified xsi:type="dcterms:W3CDTF">2025-05-06T09:01:00Z</dcterms:modified>
</cp:coreProperties>
</file>