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56"/>
          <w:szCs w:val="56"/>
        </w:rPr>
        <w:t xml:space="preserve">Luminary Systems</w:t>
      </w:r>
    </w:p>
    <w:p>
      <w:r>
        <w:rPr>
          <w:i/>
          <w:sz w:val="26"/>
          <w:szCs w:val="26"/>
          <w:color w:val="666666"/>
        </w:rPr>
        <w:t xml:space="preserve">Environment Overview for Sales &amp; SE Teams</w:t>
      </w:r>
    </w:p>
    <w:p>
      <w:r>
        <w:rPr>
          <w:i/>
          <w:sz w:val="18"/>
          <w:szCs w:val="18"/>
        </w:rPr>
        <w:t xml:space="preserve">Universal Asset Insights Demo Tenant · High-Level Reference</w:t>
      </w:r>
    </w:p>
    <w:p>
      <w:r>
        <w:t xml:space="preserve"/>
      </w:r>
    </w:p>
    <w:p>
      <w:r>
        <w:t xml:space="preserve">This is the high-level picture of Luminary Systems every SE should know before demoing Universal Asset Insights — who the company is, what data sources feed the environment, and which findings are ready to show a customer. It leaves out build/deployment mechanics and data-generation internals; those live in a separate engineering reference for the team building the environment.</w:t>
      </w:r>
    </w:p>
    <w:p>
      <w:pPr>
        <w:pStyle w:val="Heading1"/>
      </w:pPr>
      <w:r>
        <w:t xml:space="preserve">1. Company Profile</w:t>
      </w:r>
    </w:p>
    <w:p>
      <w:r>
        <w:t xml:space="preserve">Luminary Systems is a fictional 1,200-employee global enterprise headquartered in San Francisco. The company operates six worldwide offices using a mix of Windows, macOS, and Linux endpoints, with IoT devices and clinical equipment in specialty labs. Luminary Systems is the canonical demo tenant for Infoblox Universal Asset Insights (UAI).</w:t>
      </w:r>
    </w:p>
    <w:tbl>
      <w:tblPr>
        <w:tblStyle w:val="TableGrid"/>
        <w:tblW w:w="8800" w:type="dxa"/>
        <w:tblLayout w:type="fixed"/>
      </w:tblPr>
      <w:tblGrid>
        <w:gridCol w:w="1400"/>
        <w:gridCol w:w="3000"/>
        <w:gridCol w:w="2600"/>
        <w:gridCol w:w="1800"/>
      </w:tblGrid>
      <w:tr>
        <w:tc>
          <w:tcPr>
            <w:tcW w:w="1400" w:type="dxa"/>
            <w:shd w:val="clear" w:color="auto" w:fill="D9D9D9"/>
          </w:tcPr>
          <w:p>
            <w:r>
              <w:rPr>
                <w:b/>
              </w:rPr>
              <w:t xml:space="preserve">Site</w:t>
            </w:r>
          </w:p>
        </w:tc>
        <w:tc>
          <w:tcPr>
            <w:tcW w:w="3000" w:type="dxa"/>
            <w:shd w:val="clear" w:color="auto" w:fill="D9D9D9"/>
          </w:tcPr>
          <w:p>
            <w:r>
              <w:rPr>
                <w:b/>
              </w:rPr>
              <w:t xml:space="preserve">City</w:t>
            </w:r>
          </w:p>
        </w:tc>
        <w:tc>
          <w:tcPr>
            <w:tcW w:w="2600" w:type="dxa"/>
            <w:shd w:val="clear" w:color="auto" w:fill="D9D9D9"/>
          </w:tcPr>
          <w:p>
            <w:r>
              <w:rPr>
                <w:b/>
              </w:rPr>
              <w:t xml:space="preserve">Network Vendor</w:t>
            </w:r>
          </w:p>
        </w:tc>
        <w:tc>
          <w:tcPr>
            <w:tcW w:w="1800" w:type="dxa"/>
            <w:shd w:val="clear" w:color="auto" w:fill="D9D9D9"/>
          </w:tcPr>
          <w:p>
            <w:r>
              <w:rPr>
                <w:b/>
              </w:rPr>
              <w:t xml:space="preserve">Users</w:t>
            </w:r>
          </w:p>
        </w:tc>
      </w:tr>
      <w:tr>
        <w:tc>
          <w:tcPr>
            <w:tcW w:w="1400" w:type="dxa"/>
          </w:tcPr>
          <w:p>
            <w:r>
              <w:t xml:space="preserve">SFO</w:t>
            </w:r>
          </w:p>
        </w:tc>
        <w:tc>
          <w:tcPr>
            <w:tcW w:w="3000" w:type="dxa"/>
          </w:tcPr>
          <w:p>
            <w:r>
              <w:t xml:space="preserve">San Francisco</w:t>
            </w:r>
          </w:p>
        </w:tc>
        <w:tc>
          <w:tcPr>
            <w:tcW w:w="2600" w:type="dxa"/>
          </w:tcPr>
          <w:p>
            <w:r>
              <w:t xml:space="preserve">Meraki</w:t>
            </w:r>
          </w:p>
        </w:tc>
        <w:tc>
          <w:tcPr>
            <w:tcW w:w="1800" w:type="dxa"/>
          </w:tcPr>
          <w:p>
            <w:r>
              <w:t xml:space="preserve">~300</w:t>
            </w:r>
          </w:p>
        </w:tc>
      </w:tr>
      <w:tr>
        <w:tc>
          <w:tcPr>
            <w:tcW w:w="1400" w:type="dxa"/>
          </w:tcPr>
          <w:p>
            <w:r>
              <w:t xml:space="preserve">NYC</w:t>
            </w:r>
          </w:p>
        </w:tc>
        <w:tc>
          <w:tcPr>
            <w:tcW w:w="3000" w:type="dxa"/>
          </w:tcPr>
          <w:p>
            <w:r>
              <w:t xml:space="preserve">New York</w:t>
            </w:r>
          </w:p>
        </w:tc>
        <w:tc>
          <w:tcPr>
            <w:tcW w:w="2600" w:type="dxa"/>
          </w:tcPr>
          <w:p>
            <w:r>
              <w:t xml:space="preserve">Meraki</w:t>
            </w:r>
          </w:p>
        </w:tc>
        <w:tc>
          <w:tcPr>
            <w:tcW w:w="1800" w:type="dxa"/>
          </w:tcPr>
          <w:p>
            <w:r>
              <w:t xml:space="preserve">~250</w:t>
            </w:r>
          </w:p>
        </w:tc>
      </w:tr>
      <w:tr>
        <w:tc>
          <w:tcPr>
            <w:tcW w:w="1400" w:type="dxa"/>
          </w:tcPr>
          <w:p>
            <w:r>
              <w:t xml:space="preserve">LON</w:t>
            </w:r>
          </w:p>
        </w:tc>
        <w:tc>
          <w:tcPr>
            <w:tcW w:w="3000" w:type="dxa"/>
          </w:tcPr>
          <w:p>
            <w:r>
              <w:t xml:space="preserve">London</w:t>
            </w:r>
          </w:p>
        </w:tc>
        <w:tc>
          <w:tcPr>
            <w:tcW w:w="2600" w:type="dxa"/>
          </w:tcPr>
          <w:p>
            <w:r>
              <w:t xml:space="preserve">Meraki</w:t>
            </w:r>
          </w:p>
        </w:tc>
        <w:tc>
          <w:tcPr>
            <w:tcW w:w="1800" w:type="dxa"/>
          </w:tcPr>
          <w:p>
            <w:r>
              <w:t xml:space="preserve">~200</w:t>
            </w:r>
          </w:p>
        </w:tc>
      </w:tr>
      <w:tr>
        <w:tc>
          <w:tcPr>
            <w:tcW w:w="1400" w:type="dxa"/>
          </w:tcPr>
          <w:p>
            <w:r>
              <w:t xml:space="preserve">AMS</w:t>
            </w:r>
          </w:p>
        </w:tc>
        <w:tc>
          <w:tcPr>
            <w:tcW w:w="3000" w:type="dxa"/>
          </w:tcPr>
          <w:p>
            <w:r>
              <w:t xml:space="preserve">Amsterdam</w:t>
            </w:r>
          </w:p>
        </w:tc>
        <w:tc>
          <w:tcPr>
            <w:tcW w:w="2600" w:type="dxa"/>
          </w:tcPr>
          <w:p>
            <w:r>
              <w:t xml:space="preserve">Mist</w:t>
            </w:r>
          </w:p>
        </w:tc>
        <w:tc>
          <w:tcPr>
            <w:tcW w:w="1800" w:type="dxa"/>
          </w:tcPr>
          <w:p>
            <w:r>
              <w:t xml:space="preserve">~175</w:t>
            </w:r>
          </w:p>
        </w:tc>
      </w:tr>
      <w:tr>
        <w:tc>
          <w:tcPr>
            <w:tcW w:w="1400" w:type="dxa"/>
          </w:tcPr>
          <w:p>
            <w:r>
              <w:t xml:space="preserve">SGP</w:t>
            </w:r>
          </w:p>
        </w:tc>
        <w:tc>
          <w:tcPr>
            <w:tcW w:w="3000" w:type="dxa"/>
          </w:tcPr>
          <w:p>
            <w:r>
              <w:t xml:space="preserve">Singapore</w:t>
            </w:r>
          </w:p>
        </w:tc>
        <w:tc>
          <w:tcPr>
            <w:tcW w:w="2600" w:type="dxa"/>
          </w:tcPr>
          <w:p>
            <w:r>
              <w:t xml:space="preserve">Mist</w:t>
            </w:r>
          </w:p>
        </w:tc>
        <w:tc>
          <w:tcPr>
            <w:tcW w:w="1800" w:type="dxa"/>
          </w:tcPr>
          <w:p>
            <w:r>
              <w:t xml:space="preserve">~150</w:t>
            </w:r>
          </w:p>
        </w:tc>
      </w:tr>
      <w:tr>
        <w:tc>
          <w:tcPr>
            <w:tcW w:w="1400" w:type="dxa"/>
          </w:tcPr>
          <w:p>
            <w:r>
              <w:t xml:space="preserve">BLR</w:t>
            </w:r>
          </w:p>
        </w:tc>
        <w:tc>
          <w:tcPr>
            <w:tcW w:w="3000" w:type="dxa"/>
          </w:tcPr>
          <w:p>
            <w:r>
              <w:t xml:space="preserve">Bangalore</w:t>
            </w:r>
          </w:p>
        </w:tc>
        <w:tc>
          <w:tcPr>
            <w:tcW w:w="2600" w:type="dxa"/>
          </w:tcPr>
          <w:p>
            <w:r>
              <w:t xml:space="preserve">Mist</w:t>
            </w:r>
          </w:p>
        </w:tc>
        <w:tc>
          <w:tcPr>
            <w:tcW w:w="1800" w:type="dxa"/>
          </w:tcPr>
          <w:p>
            <w:r>
              <w:t xml:space="preserve">~125</w:t>
            </w:r>
          </w:p>
        </w:tc>
      </w:tr>
    </w:tbl>
    <w:p/>
    <w:p>
      <w:pPr>
        <w:pStyle w:val="Heading1"/>
      </w:pPr>
      <w:r>
        <w:t xml:space="preserve">2. Asset Provider Coverage</w:t>
      </w:r>
    </w:p>
    <w:p>
      <w:r>
        <w:t xml:space="preserve">Ten vendor sources feed the environment. Each contributes its own slice of the fleet, and shared hostname, IP, MAC, and serial fields let UAI correlate the same physical asset across multiple sources — that overlap is what makes the correlation and gap-detection story demonstrable.</w:t>
      </w:r>
    </w:p>
    <w:tbl>
      <w:tblPr>
        <w:tblStyle w:val="TableGrid"/>
        <w:tblW w:w="9000" w:type="dxa"/>
        <w:tblLayout w:type="fixed"/>
      </w:tblPr>
      <w:tblGrid>
        <w:gridCol w:w="2600"/>
        <w:gridCol w:w="1200"/>
        <w:gridCol w:w="5200"/>
      </w:tblGrid>
      <w:tr>
        <w:tc>
          <w:tcPr>
            <w:tcW w:w="2600" w:type="dxa"/>
            <w:shd w:val="clear" w:color="auto" w:fill="D9D9D9"/>
          </w:tcPr>
          <w:p>
            <w:r>
              <w:rPr>
                <w:b/>
              </w:rPr>
              <w:t xml:space="preserve">Provider</w:t>
            </w:r>
          </w:p>
        </w:tc>
        <w:tc>
          <w:tcPr>
            <w:tcW w:w="1200" w:type="dxa"/>
            <w:shd w:val="clear" w:color="auto" w:fill="D9D9D9"/>
          </w:tcPr>
          <w:p>
            <w:r>
              <w:rPr>
                <w:b/>
              </w:rPr>
              <w:t xml:space="preserve">Assets</w:t>
            </w:r>
          </w:p>
        </w:tc>
        <w:tc>
          <w:tcPr>
            <w:tcW w:w="5200" w:type="dxa"/>
            <w:shd w:val="clear" w:color="auto" w:fill="D9D9D9"/>
          </w:tcPr>
          <w:p>
            <w:r>
              <w:rPr>
                <w:b/>
              </w:rPr>
              <w:t xml:space="preserve">Notes</w:t>
            </w:r>
          </w:p>
        </w:tc>
      </w:tr>
      <w:tr>
        <w:tc>
          <w:tcPr>
            <w:tcW w:w="2600" w:type="dxa"/>
          </w:tcPr>
          <w:p>
            <w:r>
              <w:t xml:space="preserve">ServiceNow CMDB</w:t>
            </w:r>
          </w:p>
        </w:tc>
        <w:tc>
          <w:tcPr>
            <w:tcW w:w="1200" w:type="dxa"/>
          </w:tcPr>
          <w:p>
            <w:r>
              <w:t xml:space="preserve">1,415</w:t>
            </w:r>
          </w:p>
        </w:tc>
        <w:tc>
          <w:tcPr>
            <w:tcW w:w="5200" w:type="dxa"/>
          </w:tcPr>
          <w:p>
            <w:r>
              <w:t xml:space="preserve">The CMDB system of record — see Section 3 for the gap story</w:t>
            </w:r>
          </w:p>
        </w:tc>
      </w:tr>
      <w:tr>
        <w:tc>
          <w:tcPr>
            <w:tcW w:w="2600" w:type="dxa"/>
          </w:tcPr>
          <w:p>
            <w:r>
              <w:t xml:space="preserve">CrowdStrike Falcon</w:t>
            </w:r>
          </w:p>
        </w:tc>
        <w:tc>
          <w:tcPr>
            <w:tcW w:w="1200" w:type="dxa"/>
          </w:tcPr>
          <w:p>
            <w:r>
              <w:t xml:space="preserve">1,051</w:t>
            </w:r>
          </w:p>
        </w:tc>
        <w:tc>
          <w:tcPr>
            <w:tcW w:w="5200" w:type="dxa"/>
          </w:tcPr>
          <w:p>
            <w:r>
              <w:t xml:space="preserve">52 Windows devices in ServiceNow are missing the CrowdStrike agent (Scenario A)</w:t>
            </w:r>
          </w:p>
        </w:tc>
      </w:tr>
      <w:tr>
        <w:tc>
          <w:tcPr>
            <w:tcW w:w="2600" w:type="dxa"/>
          </w:tcPr>
          <w:p>
            <w:r>
              <w:t xml:space="preserve">Microsoft Intune</w:t>
            </w:r>
          </w:p>
        </w:tc>
        <w:tc>
          <w:tcPr>
            <w:tcW w:w="1200" w:type="dxa"/>
          </w:tcPr>
          <w:p>
            <w:r>
              <w:t xml:space="preserve">819</w:t>
            </w:r>
          </w:p>
        </w:tc>
        <w:tc>
          <w:tcPr>
            <w:tcW w:w="5200" w:type="dxa"/>
          </w:tcPr>
          <w:p>
            <w:r>
              <w:t xml:space="preserve">Windows + iOS/Android MDM</w:t>
            </w:r>
          </w:p>
        </w:tc>
      </w:tr>
      <w:tr>
        <w:tc>
          <w:tcPr>
            <w:tcW w:w="2600" w:type="dxa"/>
          </w:tcPr>
          <w:p>
            <w:r>
              <w:t xml:space="preserve">Jamf Pro</w:t>
            </w:r>
          </w:p>
        </w:tc>
        <w:tc>
          <w:tcPr>
            <w:tcW w:w="1200" w:type="dxa"/>
          </w:tcPr>
          <w:p>
            <w:r>
              <w:t xml:space="preserve">595</w:t>
            </w:r>
          </w:p>
        </w:tc>
        <w:tc>
          <w:tcPr>
            <w:tcW w:w="5200" w:type="dxa"/>
          </w:tcPr>
          <w:p>
            <w:r>
              <w:t xml:space="preserve">27 Macs on Ventura (EOL) — Scenario C</w:t>
            </w:r>
          </w:p>
        </w:tc>
      </w:tr>
      <w:tr>
        <w:tc>
          <w:tcPr>
            <w:tcW w:w="2600" w:type="dxa"/>
          </w:tcPr>
          <w:p>
            <w:r>
              <w:t xml:space="preserve">Meraki (SFO/NYC/LON)</w:t>
            </w:r>
          </w:p>
        </w:tc>
        <w:tc>
          <w:tcPr>
            <w:tcW w:w="1200" w:type="dxa"/>
          </w:tcPr>
          <w:p>
            <w:r>
              <w:t>1,177</w:t>
            </w:r>
          </w:p>
        </w:tc>
        <w:tc>
          <w:tcPr>
            <w:tcW w:w="5200" w:type="dxa"/>
          </w:tcPr>
          <w:p>
            <w:r>
              <w:t xml:space="preserve">Wireless clients</w:t>
            </w:r>
          </w:p>
        </w:tc>
      </w:tr>
      <w:tr>
        <w:tc>
          <w:tcPr>
            <w:tcW w:w="2600" w:type="dxa"/>
          </w:tcPr>
          <w:p>
            <w:r>
              <w:t xml:space="preserve">Juniper Mist (AMS/SGP/BLR)</w:t>
            </w:r>
          </w:p>
        </w:tc>
        <w:tc>
          <w:tcPr>
            <w:tcW w:w="1200" w:type="dxa"/>
          </w:tcPr>
          <w:p>
            <w:r>
              <w:t>745</w:t>
            </w:r>
          </w:p>
        </w:tc>
        <w:tc>
          <w:tcPr>
            <w:tcW w:w="5200" w:type="dxa"/>
          </w:tcPr>
          <w:p>
            <w:r>
              <w:t>Wireless clients; floor-level location (e.g. 'Bangalore - 4th Floor')</w:t>
            </w:r>
          </w:p>
        </w:tc>
      </w:tr>
      <w:tr>
        <w:tc>
          <w:tcPr>
            <w:tcW w:w="2600" w:type="dxa"/>
          </w:tcPr>
          <w:p>
            <w:r>
              <w:t xml:space="preserve">Ordr (IoT/OT)</w:t>
            </w:r>
          </w:p>
        </w:tc>
        <w:tc>
          <w:tcPr>
            <w:tcW w:w="1200" w:type="dxa"/>
          </w:tcPr>
          <w:p>
            <w:r>
              <w:t>30</w:t>
            </w:r>
          </w:p>
        </w:tc>
        <w:tc>
          <w:tcPr>
            <w:tcW w:w="5200" w:type="dxa"/>
          </w:tcPr>
          <w:p>
            <w:r>
              <w:t xml:space="preserve">IoT, OT, and clinical devices; VLAN mismatch scenario (Scenario B)</w:t>
            </w:r>
          </w:p>
        </w:tc>
      </w:tr>
      <w:tr>
        <w:tc>
          <w:tcPr>
            <w:tcW w:w="2600" w:type="dxa"/>
          </w:tcPr>
          <w:p>
            <w:r>
              <w:t xml:space="preserve">Tenable.io</w:t>
            </w:r>
          </w:p>
        </w:tc>
        <w:tc>
          <w:tcPr>
            <w:tcW w:w="1200" w:type="dxa"/>
          </w:tcPr>
          <w:p>
            <w:r>
              <w:t>1,425</w:t>
            </w:r>
          </w:p>
        </w:tc>
        <w:tc>
          <w:tcPr>
            <w:tcW w:w="5200" w:type="dxa"/>
          </w:tcPr>
          <w:p>
            <w:r>
              <w:t xml:space="preserve">Vulnerability scan across all endpoints</w:t>
            </w:r>
          </w:p>
        </w:tc>
      </w:tr>
      <w:tr>
        <w:tc>
          <w:tcPr>
            <w:tcW w:w="2600" w:type="dxa"/>
          </w:tcPr>
          <w:p>
            <w:r>
              <w:t xml:space="preserve">Aruba EdgeConnect</w:t>
            </w:r>
          </w:p>
        </w:tc>
        <w:tc>
          <w:tcPr>
            <w:tcW w:w="1200" w:type="dxa"/>
          </w:tcPr>
          <w:p>
            <w:r>
              <w:t xml:space="preserve">18</w:t>
            </w:r>
          </w:p>
        </w:tc>
        <w:tc>
          <w:tcPr>
            <w:tcW w:w="5200" w:type="dxa"/>
          </w:tcPr>
          <w:p>
            <w:r>
              <w:t xml:space="preserve">SD-WAN appliances, 3 per site across 6 sites</w:t>
            </w:r>
          </w:p>
        </w:tc>
      </w:tr>
      <w:tr>
        <w:tc>
          <w:tcPr>
            <w:tcW w:w="2600" w:type="dxa"/>
          </w:tcPr>
          <w:p>
            <w:r>
              <w:t xml:space="preserve">VMware vCenter</w:t>
            </w:r>
          </w:p>
        </w:tc>
        <w:tc>
          <w:tcPr>
            <w:tcW w:w="1200" w:type="dxa"/>
          </w:tcPr>
          <w:p>
            <w:r>
              <w:t xml:space="preserve">261</w:t>
            </w:r>
          </w:p>
        </w:tc>
        <w:tc>
          <w:tcPr>
            <w:tcW w:w="5200" w:type="dxa"/>
          </w:tcPr>
          <w:p>
            <w:r>
              <w:t xml:space="preserve">VM instances (Windows, Linux, VDI)</w:t>
            </w:r>
          </w:p>
        </w:tc>
      </w:tr>
    </w:tbl>
    <w:p/>
    <w:p>
      <w:pPr>
        <w:pStyle w:val="Heading1"/>
      </w:pPr>
      <w:r>
        <w:t xml:space="preserve">3. The CMDB Gap Story — The Signature Demo Moment</w:t>
      </w:r>
    </w:p>
    <w:p>
      <w:r>
        <w:t>This is the most powerful moment in any UAI demo. ServiceNow reports 1,415 configuration items. UAI correlates across every other source and surfaces 2,403 unique assets — 975 assets, or 41% of the environment, that the CMDB never knew existed. These gaps are deliberately built into the dataset, so the story is repeatable and predictable in every demo.</w:t>
      </w:r>
    </w:p>
    <w:p>
      <w:pPr>
        <w:pStyle w:val="Heading2"/>
      </w:pPr>
      <w:r>
        <w:t xml:space="preserve">Managed but Invisible to the CMDB (182 devices)</w:t>
      </w:r>
    </w:p>
    <w:p>
      <w:r>
        <w:t xml:space="preserve">These devices are enrolled in endpoint security or MDM but were never added to ServiceNow — surfaced by UAI as managed-but-untracked assets, a direct shadow-IT and BYOD risk signal.</w:t>
      </w:r>
    </w:p>
    <w:tbl>
      <w:tblPr>
        <w:tblStyle w:val="TableGrid"/>
        <w:tblW w:w="9000" w:type="dxa"/>
        <w:tblLayout w:type="fixed"/>
      </w:tblPr>
      <w:tblGrid>
        <w:gridCol w:w="2400"/>
        <w:gridCol w:w="1200"/>
        <w:gridCol w:w="1800"/>
        <w:gridCol w:w="1200"/>
        <w:gridCol w:w="2400"/>
      </w:tblGrid>
      <w:tr>
        <w:tc>
          <w:tcPr>
            <w:tcW w:w="2400" w:type="dxa"/>
            <w:shd w:val="clear" w:color="auto" w:fill="D9D9D9"/>
          </w:tcPr>
          <w:p>
            <w:r>
              <w:rPr>
                <w:b/>
              </w:rPr>
              <w:t xml:space="preserve">Category</w:t>
            </w:r>
          </w:p>
        </w:tc>
        <w:tc>
          <w:tcPr>
            <w:tcW w:w="1200" w:type="dxa"/>
            <w:shd w:val="clear" w:color="auto" w:fill="D9D9D9"/>
          </w:tcPr>
          <w:p>
            <w:r>
              <w:rPr>
                <w:b/>
              </w:rPr>
              <w:t xml:space="preserve">Total</w:t>
            </w:r>
          </w:p>
        </w:tc>
        <w:tc>
          <w:tcPr>
            <w:tcW w:w="1800" w:type="dxa"/>
            <w:shd w:val="clear" w:color="auto" w:fill="D9D9D9"/>
          </w:tcPr>
          <w:p>
            <w:r>
              <w:rPr>
                <w:b/>
              </w:rPr>
              <w:t xml:space="preserve">In ServiceNow</w:t>
            </w:r>
          </w:p>
        </w:tc>
        <w:tc>
          <w:tcPr>
            <w:tcW w:w="1200" w:type="dxa"/>
            <w:shd w:val="clear" w:color="auto" w:fill="D9D9D9"/>
          </w:tcPr>
          <w:p>
            <w:r>
              <w:rPr>
                <w:b/>
              </w:rPr>
              <w:t xml:space="preserve">Gap</w:t>
            </w:r>
          </w:p>
        </w:tc>
        <w:tc>
          <w:tcPr>
            <w:tcW w:w="2400" w:type="dxa"/>
            <w:shd w:val="clear" w:color="auto" w:fill="D9D9D9"/>
          </w:tcPr>
          <w:p>
            <w:r>
              <w:rPr>
                <w:b/>
              </w:rPr>
              <w:t xml:space="preserve">Visible Via</w:t>
            </w:r>
          </w:p>
        </w:tc>
      </w:tr>
      <w:tr>
        <w:tc>
          <w:tcPr>
            <w:tcW w:w="2400" w:type="dxa"/>
          </w:tcPr>
          <w:p>
            <w:r>
              <w:t xml:space="preserve">Windows Laptops</w:t>
            </w:r>
          </w:p>
        </w:tc>
        <w:tc>
          <w:tcPr>
            <w:tcW w:w="1200" w:type="dxa"/>
          </w:tcPr>
          <w:p>
            <w:r>
              <w:t xml:space="preserve">601</w:t>
            </w:r>
          </w:p>
        </w:tc>
        <w:tc>
          <w:tcPr>
            <w:tcW w:w="1800" w:type="dxa"/>
          </w:tcPr>
          <w:p>
            <w:r>
              <w:t xml:space="preserve">521</w:t>
            </w:r>
          </w:p>
        </w:tc>
        <w:tc>
          <w:tcPr>
            <w:tcW w:w="1200" w:type="dxa"/>
          </w:tcPr>
          <w:p>
            <w:r>
              <w:t xml:space="preserve">80</w:t>
            </w:r>
          </w:p>
        </w:tc>
        <w:tc>
          <w:tcPr>
            <w:tcW w:w="2400" w:type="dxa"/>
          </w:tcPr>
          <w:p>
            <w:r>
              <w:t xml:space="preserve">CrowdStrike + Intune</w:t>
            </w:r>
          </w:p>
        </w:tc>
      </w:tr>
      <w:tr>
        <w:tc>
          <w:tcPr>
            <w:tcW w:w="2400" w:type="dxa"/>
          </w:tcPr>
          <w:p>
            <w:r>
              <w:t xml:space="preserve">macOS Laptops</w:t>
            </w:r>
          </w:p>
        </w:tc>
        <w:tc>
          <w:tcPr>
            <w:tcW w:w="1200" w:type="dxa"/>
          </w:tcPr>
          <w:p>
            <w:r>
              <w:t xml:space="preserve">343</w:t>
            </w:r>
          </w:p>
        </w:tc>
        <w:tc>
          <w:tcPr>
            <w:tcW w:w="1800" w:type="dxa"/>
          </w:tcPr>
          <w:p>
            <w:r>
              <w:t xml:space="preserve">254</w:t>
            </w:r>
          </w:p>
        </w:tc>
        <w:tc>
          <w:tcPr>
            <w:tcW w:w="1200" w:type="dxa"/>
          </w:tcPr>
          <w:p>
            <w:r>
              <w:t xml:space="preserve">89</w:t>
            </w:r>
          </w:p>
        </w:tc>
        <w:tc>
          <w:tcPr>
            <w:tcW w:w="2400" w:type="dxa"/>
          </w:tcPr>
          <w:p>
            <w:r>
              <w:t xml:space="preserve">Jamf + CrowdStrike</w:t>
            </w:r>
          </w:p>
        </w:tc>
      </w:tr>
      <w:tr>
        <w:tc>
          <w:tcPr>
            <w:tcW w:w="2400" w:type="dxa"/>
          </w:tcPr>
          <w:p>
            <w:r>
              <w:t xml:space="preserve">Linux Workstations</w:t>
            </w:r>
          </w:p>
        </w:tc>
        <w:tc>
          <w:tcPr>
            <w:tcW w:w="1200" w:type="dxa"/>
          </w:tcPr>
          <w:p>
            <w:r>
              <w:t xml:space="preserve">40</w:t>
            </w:r>
          </w:p>
        </w:tc>
        <w:tc>
          <w:tcPr>
            <w:tcW w:w="1800" w:type="dxa"/>
          </w:tcPr>
          <w:p>
            <w:r>
              <w:t xml:space="preserve">29</w:t>
            </w:r>
          </w:p>
        </w:tc>
        <w:tc>
          <w:tcPr>
            <w:tcW w:w="1200" w:type="dxa"/>
          </w:tcPr>
          <w:p>
            <w:r>
              <w:t xml:space="preserve">11</w:t>
            </w:r>
          </w:p>
        </w:tc>
        <w:tc>
          <w:tcPr>
            <w:tcW w:w="2400" w:type="dxa"/>
          </w:tcPr>
          <w:p>
            <w:r>
              <w:t xml:space="preserve">CrowdStrike + Tenable</w:t>
            </w:r>
          </w:p>
        </w:tc>
      </w:tr>
      <w:tr>
        <w:tc>
          <w:tcPr>
            <w:tcW w:w="2400" w:type="dxa"/>
          </w:tcPr>
          <w:p>
            <w:r>
              <w:t xml:space="preserve">Windows Servers</w:t>
            </w:r>
          </w:p>
        </w:tc>
        <w:tc>
          <w:tcPr>
            <w:tcW w:w="1200" w:type="dxa"/>
          </w:tcPr>
          <w:p>
            <w:r>
              <w:t xml:space="preserve">12</w:t>
            </w:r>
          </w:p>
        </w:tc>
        <w:tc>
          <w:tcPr>
            <w:tcW w:w="1800" w:type="dxa"/>
          </w:tcPr>
          <w:p>
            <w:r>
              <w:t xml:space="preserve">11</w:t>
            </w:r>
          </w:p>
        </w:tc>
        <w:tc>
          <w:tcPr>
            <w:tcW w:w="1200" w:type="dxa"/>
          </w:tcPr>
          <w:p>
            <w:r>
              <w:t xml:space="preserve">1</w:t>
            </w:r>
          </w:p>
        </w:tc>
        <w:tc>
          <w:tcPr>
            <w:tcW w:w="2400" w:type="dxa"/>
          </w:tcPr>
          <w:p>
            <w:r>
              <w:t xml:space="preserve">CrowdStrike + Tenable</w:t>
            </w:r>
          </w:p>
        </w:tc>
      </w:tr>
      <w:tr>
        <w:tc>
          <w:tcPr>
            <w:tcW w:w="2400" w:type="dxa"/>
          </w:tcPr>
          <w:p>
            <w:r>
              <w:t xml:space="preserve">Linux Servers</w:t>
            </w:r>
          </w:p>
        </w:tc>
        <w:tc>
          <w:tcPr>
            <w:tcW w:w="1200" w:type="dxa"/>
          </w:tcPr>
          <w:p>
            <w:r>
              <w:t xml:space="preserve">9</w:t>
            </w:r>
          </w:p>
        </w:tc>
        <w:tc>
          <w:tcPr>
            <w:tcW w:w="1800" w:type="dxa"/>
          </w:tcPr>
          <w:p>
            <w:r>
              <w:t xml:space="preserve">8</w:t>
            </w:r>
          </w:p>
        </w:tc>
        <w:tc>
          <w:tcPr>
            <w:tcW w:w="1200" w:type="dxa"/>
          </w:tcPr>
          <w:p>
            <w:r>
              <w:t xml:space="preserve">1</w:t>
            </w:r>
          </w:p>
        </w:tc>
        <w:tc>
          <w:tcPr>
            <w:tcW w:w="2400" w:type="dxa"/>
          </w:tcPr>
          <w:p>
            <w:r>
              <w:t xml:space="preserve">CrowdStrike + Tenable</w:t>
            </w:r>
          </w:p>
        </w:tc>
      </w:tr>
    </w:tbl>
    <w:p/>
    <w:p>
      <w:pPr>
        <w:pStyle w:val="Heading2"/>
      </w:pPr>
      <w:r>
        <w:t xml:space="preserve">Completely Off the CMDB — 802 Shadow Assets</w:t>
      </w:r>
    </w:p>
    <w:p>
      <w:r>
        <w:t xml:space="preserve">These device classes don't appear in ServiceNow at all. UAI discovers them entirely through Ordr (IoT/OT/clinical) and Intune (mobile MDM) — a population the CMDB has no visibility into whatsoever.</w:t>
      </w:r>
    </w:p>
    <w:tbl>
      <w:tblPr>
        <w:tblStyle w:val="TableGrid"/>
        <w:tblW w:w="9000" w:type="dxa"/>
        <w:tblLayout w:type="fixed"/>
      </w:tblPr>
      <w:tblGrid>
        <w:gridCol w:w="3200"/>
        <w:gridCol w:w="1400"/>
        <w:gridCol w:w="4400"/>
      </w:tblGrid>
      <w:tr>
        <w:tc>
          <w:tcPr>
            <w:tcW w:w="3200" w:type="dxa"/>
            <w:shd w:val="clear" w:color="auto" w:fill="D9D9D9"/>
          </w:tcPr>
          <w:p>
            <w:r>
              <w:rPr>
                <w:b/>
              </w:rPr>
              <w:t xml:space="preserve">Category</w:t>
            </w:r>
          </w:p>
        </w:tc>
        <w:tc>
          <w:tcPr>
            <w:tcW w:w="1400" w:type="dxa"/>
            <w:shd w:val="clear" w:color="auto" w:fill="D9D9D9"/>
          </w:tcPr>
          <w:p>
            <w:r>
              <w:rPr>
                <w:b/>
              </w:rPr>
              <w:t xml:space="preserve">Count</w:t>
            </w:r>
          </w:p>
        </w:tc>
        <w:tc>
          <w:tcPr>
            <w:tcW w:w="4400" w:type="dxa"/>
            <w:shd w:val="clear" w:color="auto" w:fill="D9D9D9"/>
          </w:tcPr>
          <w:p>
            <w:r>
              <w:rPr>
                <w:b/>
              </w:rPr>
              <w:t xml:space="preserve">Visible Via</w:t>
            </w:r>
          </w:p>
        </w:tc>
      </w:tr>
      <w:tr>
        <w:tc>
          <w:tcPr>
            <w:tcW w:w="3200" w:type="dxa"/>
          </w:tcPr>
          <w:p>
            <w:r>
              <w:t xml:space="preserve">IoT / OT devices</w:t>
            </w:r>
          </w:p>
        </w:tc>
        <w:tc>
          <w:tcPr>
            <w:tcW w:w="1400" w:type="dxa"/>
          </w:tcPr>
          <w:p>
            <w:r>
              <w:t>0</w:t>
            </w:r>
          </w:p>
        </w:tc>
        <w:tc>
          <w:tcPr>
            <w:tcW w:w="4400" w:type="dxa"/>
          </w:tcPr>
          <w:p>
            <w:r>
              <w:t xml:space="preserve">Ordr — smart TVs, HVAC, sensors, cameras, access control</w:t>
            </w:r>
          </w:p>
        </w:tc>
      </w:tr>
      <w:tr>
        <w:tc>
          <w:tcPr>
            <w:tcW w:w="3200" w:type="dxa"/>
          </w:tcPr>
          <w:p>
            <w:r>
              <w:t xml:space="preserve">Clinical / medical equipment</w:t>
            </w:r>
          </w:p>
        </w:tc>
        <w:tc>
          <w:tcPr>
            <w:tcW w:w="1400" w:type="dxa"/>
          </w:tcPr>
          <w:p>
            <w:r>
              <w:t>30</w:t>
            </w:r>
          </w:p>
        </w:tc>
        <w:tc>
          <w:tcPr>
            <w:tcW w:w="4400" w:type="dxa"/>
          </w:tcPr>
          <w:p>
            <w:r>
              <w:t xml:space="preserve">Ordr — clinic/lab equipment in SFO and BLR</w:t>
            </w:r>
          </w:p>
        </w:tc>
      </w:tr>
      <w:tr>
        <w:tc>
          <w:tcPr>
            <w:tcW w:w="3200" w:type="dxa"/>
          </w:tcPr>
          <w:p>
            <w:r>
              <w:t xml:space="preserve">iOS mobile (MDM)</w:t>
            </w:r>
          </w:p>
        </w:tc>
        <w:tc>
          <w:tcPr>
            <w:tcW w:w="1400" w:type="dxa"/>
          </w:tcPr>
          <w:p>
            <w:r>
              <w:t xml:space="preserve">275</w:t>
            </w:r>
          </w:p>
        </w:tc>
        <w:tc>
          <w:tcPr>
            <w:tcW w:w="4400" w:type="dxa"/>
          </w:tcPr>
          <w:p>
            <w:r>
              <w:t xml:space="preserve">Intune — company and BYOD iPhones/iPads</w:t>
            </w:r>
          </w:p>
        </w:tc>
      </w:tr>
      <w:tr>
        <w:tc>
          <w:tcPr>
            <w:tcW w:w="3200" w:type="dxa"/>
          </w:tcPr>
          <w:p>
            <w:r>
              <w:t xml:space="preserve">Android mobile (MDM)</w:t>
            </w:r>
          </w:p>
        </w:tc>
        <w:tc>
          <w:tcPr>
            <w:tcW w:w="1400" w:type="dxa"/>
          </w:tcPr>
          <w:p>
            <w:r>
              <w:t xml:space="preserve">230</w:t>
            </w:r>
          </w:p>
        </w:tc>
        <w:tc>
          <w:tcPr>
            <w:tcW w:w="4400" w:type="dxa"/>
          </w:tcPr>
          <w:p>
            <w:r>
              <w:t xml:space="preserve">Intune — company and BYOD Android phones</w:t>
            </w:r>
          </w:p>
        </w:tc>
      </w:tr>
      <w:tr>
        <w:tc>
          <w:tcPr>
            <w:tcW w:w="3200" w:type="dxa"/>
          </w:tcPr>
          <w:p>
            <w:r>
              <w:t xml:space="preserve">Shadow WAPs</w:t>
            </w:r>
          </w:p>
        </w:tc>
        <w:tc>
          <w:tcPr>
            <w:tcW w:w="1400" w:type="dxa"/>
          </w:tcPr>
          <w:p>
            <w:r>
              <w:t xml:space="preserve">25</w:t>
            </w:r>
          </w:p>
        </w:tc>
        <w:tc>
          <w:tcPr>
            <w:tcW w:w="4400" w:type="dxa"/>
          </w:tcPr>
          <w:p>
            <w:r>
              <w:t xml:space="preserve">Meraki/Mist — access points installed but not in CMDB</w:t>
            </w:r>
          </w:p>
        </w:tc>
      </w:tr>
      <w:tr>
        <w:tc>
          <w:tcPr>
            <w:tcW w:w="3200" w:type="dxa"/>
          </w:tcPr>
          <w:p>
            <w:r>
              <w:t xml:space="preserve">Shadow switches</w:t>
            </w:r>
          </w:p>
        </w:tc>
        <w:tc>
          <w:tcPr>
            <w:tcW w:w="1400" w:type="dxa"/>
          </w:tcPr>
          <w:p>
            <w:r>
              <w:t xml:space="preserve">10</w:t>
            </w:r>
          </w:p>
        </w:tc>
        <w:tc>
          <w:tcPr>
            <w:tcW w:w="4400" w:type="dxa"/>
          </w:tcPr>
          <w:p>
            <w:r>
              <w:t xml:space="preserve">Ordr/Meraki — switches not tracked in CMDB</w:t>
            </w:r>
          </w:p>
        </w:tc>
      </w:tr>
    </w:tbl>
    <w:p/>
    <w:p>
      <w:r>
        <w:rPr>
          <w:i/>
        </w:rPr>
        <w:t>Demo talking point: “ServiceNow told us we have 1,415 assets. UAI found 2,403. The 975 we didn't know about include 245 IoT devices, 505 mobile devices, and 182 endpoints that your security tools already manage but your CMDB has never seen.”</w:t>
      </w:r>
    </w:p>
    <w:p>
      <w:pPr>
        <w:pStyle w:val="Heading1"/>
      </w:pPr>
      <w:r>
        <w:t xml:space="preserve">4. Demo-Ready Scenarios</w:t>
      </w:r>
    </w:p>
    <w:p>
      <w:r>
        <w:t xml:space="preserve">Each scenario below has exact, stable counts and is discoverable in UAI with no manual setup — the data is pre-loaded specifically to surface these findings.</w:t>
      </w:r>
    </w:p>
    <w:p>
      <w:pPr>
        <w:pStyle w:val="Heading2"/>
      </w:pPr>
      <w:r>
        <w:t xml:space="preserve">Scenario A — Missing EDR Coverage (Windows)</w:t>
      </w:r>
    </w:p>
    <w:p>
      <w:r>
        <w:t xml:space="preserve">52 Windows devices are registered in ServiceNow — the CMDB believes they're managed — but carry no CrowdStrike Falcon agent. The CMDB thinks they're protected; the EDR tool doesn't see them at all.</w:t>
      </w:r>
    </w:p>
    <w:tbl>
      <w:tblPr>
        <w:tblStyle w:val="TableGrid"/>
        <w:tblW w:w="9000" w:type="dxa"/>
        <w:tblLayout w:type="fixed"/>
      </w:tblPr>
      <w:tblGrid>
        <w:gridCol w:w="4400"/>
        <w:gridCol w:w="4600"/>
      </w:tblGrid>
      <w:tr>
        <w:tc>
          <w:tcPr>
            <w:tcW w:w="4400" w:type="dxa"/>
            <w:shd w:val="clear" w:color="auto" w:fill="D9D9D9"/>
          </w:tcPr>
          <w:p>
            <w:r>
              <w:rPr>
                <w:b/>
              </w:rPr>
              <w:t xml:space="preserve">Metric</w:t>
            </w:r>
          </w:p>
        </w:tc>
        <w:tc>
          <w:tcPr>
            <w:tcW w:w="4600" w:type="dxa"/>
            <w:shd w:val="clear" w:color="auto" w:fill="D9D9D9"/>
          </w:tcPr>
          <w:p>
            <w:r>
              <w:rPr>
                <w:b/>
              </w:rPr>
              <w:t xml:space="preserve">Value</w:t>
            </w:r>
          </w:p>
        </w:tc>
      </w:tr>
      <w:tr>
        <w:tc>
          <w:tcPr>
            <w:tcW w:w="4400" w:type="dxa"/>
          </w:tcPr>
          <w:p>
            <w:r>
              <w:t xml:space="preserve">Windows CIs in ServiceNow</w:t>
            </w:r>
          </w:p>
        </w:tc>
        <w:tc>
          <w:tcPr>
            <w:tcW w:w="4600" w:type="dxa"/>
          </w:tcPr>
          <w:p>
            <w:r>
              <w:t xml:space="preserve">521</w:t>
            </w:r>
          </w:p>
        </w:tc>
      </w:tr>
      <w:tr>
        <w:tc>
          <w:tcPr>
            <w:tcW w:w="4400" w:type="dxa"/>
          </w:tcPr>
          <w:p>
            <w:r>
              <w:t xml:space="preserve">Windows with CrowdStrike agent</w:t>
            </w:r>
          </w:p>
        </w:tc>
        <w:tc>
          <w:tcPr>
            <w:tcW w:w="4600" w:type="dxa"/>
          </w:tcPr>
          <w:p>
            <w:r>
              <w:t xml:space="preserve">~469</w:t>
            </w:r>
          </w:p>
        </w:tc>
      </w:tr>
      <w:tr>
        <w:tc>
          <w:tcPr>
            <w:tcW w:w="4400" w:type="dxa"/>
          </w:tcPr>
          <w:p>
            <w:r>
              <w:t xml:space="preserve">Missing CrowdStrike (in SN, not CS)</w:t>
            </w:r>
          </w:p>
        </w:tc>
        <w:tc>
          <w:tcPr>
            <w:tcW w:w="4600" w:type="dxa"/>
          </w:tcPr>
          <w:p>
            <w:r>
              <w:t xml:space="preserve">52</w:t>
            </w:r>
          </w:p>
        </w:tc>
      </w:tr>
      <w:tr>
        <w:tc>
          <w:tcPr>
            <w:tcW w:w="4400" w:type="dxa"/>
          </w:tcPr>
          <w:p>
            <w:r>
              <w:t xml:space="preserve">Additional Windows in CS but not in SN</w:t>
            </w:r>
          </w:p>
        </w:tc>
        <w:tc>
          <w:tcPr>
            <w:tcW w:w="4600" w:type="dxa"/>
          </w:tcPr>
          <w:p>
            <w:r>
              <w:t>88</w:t>
            </w:r>
          </w:p>
        </w:tc>
      </w:tr>
      <w:tr>
        <w:tc>
          <w:tcPr>
            <w:tcW w:w="4400" w:type="dxa"/>
          </w:tcPr>
          <w:p>
            <w:r>
              <w:t xml:space="preserve">Sites affected</w:t>
            </w:r>
          </w:p>
        </w:tc>
        <w:tc>
          <w:tcPr>
            <w:tcW w:w="4600" w:type="dxa"/>
          </w:tcPr>
          <w:p>
            <w:r>
              <w:t xml:space="preserve">All 6 sites</w:t>
            </w:r>
          </w:p>
        </w:tc>
      </w:tr>
    </w:tbl>
    <w:p/>
    <w:p>
      <w:pPr>
        <w:pStyle w:val="Heading2"/>
      </w:pPr>
      <w:r>
        <w:t xml:space="preserve">Scenario B — IoT VLAN Mismatch (Ordr)</w:t>
      </w:r>
    </w:p>
    <w:p>
      <w:r>
        <w:t>11 IoT devices detected by Ordr sit on the wrong VLAN — corporate or guest VLANs instead of the isolated IoT VLAN. That's a lateral-movement risk: if one of these devices is compromised, it has direct access to corporate endpoints.</w:t>
      </w:r>
    </w:p>
    <w:tbl>
      <w:tblPr>
        <w:tblStyle w:val="TableGrid"/>
        <w:tblW w:w="9000" w:type="dxa"/>
        <w:tblLayout w:type="fixed"/>
      </w:tblPr>
      <w:tblGrid>
        <w:gridCol w:w="4400"/>
        <w:gridCol w:w="4600"/>
      </w:tblGrid>
      <w:tr>
        <w:tc>
          <w:tcPr>
            <w:tcW w:w="4400" w:type="dxa"/>
            <w:shd w:val="clear" w:color="auto" w:fill="D9D9D9"/>
          </w:tcPr>
          <w:p>
            <w:r>
              <w:rPr>
                <w:b/>
              </w:rPr>
              <w:t xml:space="preserve">Metric</w:t>
            </w:r>
          </w:p>
        </w:tc>
        <w:tc>
          <w:tcPr>
            <w:tcW w:w="4600" w:type="dxa"/>
            <w:shd w:val="clear" w:color="auto" w:fill="D9D9D9"/>
          </w:tcPr>
          <w:p>
            <w:r>
              <w:rPr>
                <w:b/>
              </w:rPr>
              <w:t xml:space="preserve">Value</w:t>
            </w:r>
          </w:p>
        </w:tc>
      </w:tr>
      <w:tr>
        <w:tc>
          <w:tcPr>
            <w:tcW w:w="4400" w:type="dxa"/>
          </w:tcPr>
          <w:p>
            <w:r>
              <w:t xml:space="preserve">Total IoT devices (Ordr)</w:t>
            </w:r>
          </w:p>
        </w:tc>
        <w:tc>
          <w:tcPr>
            <w:tcW w:w="4600" w:type="dxa"/>
          </w:tcPr>
          <w:p>
            <w:r>
              <w:t>30</w:t>
            </w:r>
          </w:p>
        </w:tc>
      </w:tr>
      <w:tr>
        <w:tc>
          <w:tcPr>
            <w:tcW w:w="4400" w:type="dxa"/>
          </w:tcPr>
          <w:p>
            <w:r>
              <w:t xml:space="preserve">IoT devices on the wrong VLAN</w:t>
            </w:r>
          </w:p>
        </w:tc>
        <w:tc>
          <w:tcPr>
            <w:tcW w:w="4600" w:type="dxa"/>
          </w:tcPr>
          <w:p>
            <w:r>
              <w:t>11</w:t>
            </w:r>
          </w:p>
        </w:tc>
      </w:tr>
      <w:tr>
        <w:tc>
          <w:tcPr>
            <w:tcW w:w="4400" w:type="dxa"/>
          </w:tcPr>
          <w:p>
            <w:r>
              <w:t xml:space="preserve">Expected VLAN</w:t>
            </w:r>
          </w:p>
        </w:tc>
        <w:tc>
          <w:tcPr>
            <w:tcW w:w="4600" w:type="dxa"/>
          </w:tcPr>
          <w:p>
            <w:r>
              <w:t xml:space="preserve">Isolated IoT VLAN</w:t>
            </w:r>
          </w:p>
        </w:tc>
      </w:tr>
      <w:tr>
        <w:tc>
          <w:tcPr>
            <w:tcW w:w="4400" w:type="dxa"/>
          </w:tcPr>
          <w:p>
            <w:r>
              <w:t xml:space="preserve">Actual VLAN observed</w:t>
            </w:r>
          </w:p>
        </w:tc>
        <w:tc>
          <w:tcPr>
            <w:tcW w:w="4600" w:type="dxa"/>
          </w:tcPr>
          <w:p>
            <w:r>
              <w:t xml:space="preserve">Corporate or Guest VLAN</w:t>
            </w:r>
          </w:p>
        </w:tc>
      </w:tr>
      <w:tr>
        <w:tc>
          <w:tcPr>
            <w:tcW w:w="4400" w:type="dxa"/>
          </w:tcPr>
          <w:p>
            <w:r>
              <w:t xml:space="preserve">Sites affected</w:t>
            </w:r>
          </w:p>
        </w:tc>
        <w:tc>
          <w:tcPr>
            <w:tcW w:w="4600" w:type="dxa"/>
          </w:tcPr>
          <w:p>
            <w:r>
              <w:t>SFO</w:t>
            </w:r>
          </w:p>
        </w:tc>
      </w:tr>
    </w:tbl>
    <w:p/>
    <w:p>
      <w:pPr>
        <w:pStyle w:val="Heading3"/>
      </w:pPr>
      <w:r>
        <w:t xml:space="preserve">How to Find This in UAI (Scenario B Demo Steps)</w:t>
      </w:r>
    </w:p>
    <w:p>
      <w:pPr>
        <w:pStyle w:val="Normal"/>
      </w:pPr>
      <w:r>
        <w:t xml:space="preserve">1. Open UAI → Asset Inventory. Set Source filter = Ordr.</w:t>
      </w:r>
    </w:p>
    <w:p>
      <w:pPr>
        <w:pStyle w:val="Normal"/>
      </w:pPr>
      <w:r>
        <w:t xml:space="preserve">2. Add the VLAN / Network column. Sort by VLAN ascending.</w:t>
      </w:r>
    </w:p>
    <w:p>
      <w:pPr>
        <w:pStyle w:val="Normal"/>
      </w:pPr>
      <w:r>
        <w:t xml:space="preserve">3. Observe: the bulk of IoT devices show VLAN 40 (IoT). Eleven SFO devices show VLAN 10 (Corp) or VLAN 20 (Guest).</w:t>
      </w:r>
    </w:p>
    <w:p>
      <w:pPr>
        <w:pStyle w:val="Normal"/>
      </w:pPr>
      <w:r>
        <w:t xml:space="preserve">4. Click any mismatch device — confirm Device Type = IP Camera or IoT Sensor. Ordr classified it correctly as IoT, but it landed on the wrong VLAN.</w:t>
      </w:r>
    </w:p>
    <w:p>
      <w:pPr>
        <w:pStyle w:val="Normal"/>
      </w:pPr>
      <w:r>
        <w:t xml:space="preserve">5. The risk: these cameras and sensors have Layer-2 access to corporate endpoints (VLAN 10) or are exposed to guest traffic (VLAN 20). A compromised camera is a lateral-movement path into the corporate network.</w:t>
      </w:r>
    </w:p>
    <w:p>
      <w:pPr>
        <w:pStyle w:val="Normal"/>
      </w:pPr>
      <w:r>
        <w:t xml:space="preserve">SE talking point: "Ordr sees 245 IoT devices. 11 of them in SFO are on the corporate or guest VLAN instead of the isolated IoT VLAN. UAI surfaces this in seconds — your network team would need a full manual VLAN audit to find the same thing, and they probably haven't done one."</w:t>
      </w:r>
    </w:p>
    <w:p>
      <w:pPr>
        <w:pStyle w:val="Normal"/>
      </w:pPr>
      <w:r>
        <w:t xml:space="preserve">Highlight devices: lsys-sfo-iot-2002, 2019, 2079, 2120, 2135, 2138, 2173, 2176, 2177, 2194, 2206 (all SFO, Ordr-only, IP Cameras / Sensors / MV12W).</w:t>
      </w:r>
    </w:p>
    <w:p>
      <w:pPr>
        <w:pStyle w:val="Heading2"/>
      </w:pPr>
      <w:r>
        <w:t xml:space="preserve">Scenario C — macOS Ventura End-of-Life (Jamf)</w:t>
      </w:r>
    </w:p>
    <w:p>
      <w:r>
        <w:t xml:space="preserve">27 MacBooks are running macOS 13 (Ventura), which reached end-of-life support in late 2025. Visible in Jamf, and cross-referenced against ServiceNow to prioritize upgrade tickets.</w:t>
      </w:r>
    </w:p>
    <w:tbl>
      <w:tblPr>
        <w:tblStyle w:val="TableGrid"/>
        <w:tblW w:w="9000" w:type="dxa"/>
        <w:tblLayout w:type="fixed"/>
      </w:tblPr>
      <w:tblGrid>
        <w:gridCol w:w="4400"/>
        <w:gridCol w:w="4600"/>
      </w:tblGrid>
      <w:tr>
        <w:tc>
          <w:tcPr>
            <w:tcW w:w="4400" w:type="dxa"/>
            <w:shd w:val="clear" w:color="auto" w:fill="D9D9D9"/>
          </w:tcPr>
          <w:p>
            <w:r>
              <w:rPr>
                <w:b/>
              </w:rPr>
              <w:t xml:space="preserve">Metric</w:t>
            </w:r>
          </w:p>
        </w:tc>
        <w:tc>
          <w:tcPr>
            <w:tcW w:w="4600" w:type="dxa"/>
            <w:shd w:val="clear" w:color="auto" w:fill="D9D9D9"/>
          </w:tcPr>
          <w:p>
            <w:r>
              <w:rPr>
                <w:b/>
              </w:rPr>
              <w:t xml:space="preserve">Value</w:t>
            </w:r>
          </w:p>
        </w:tc>
      </w:tr>
      <w:tr>
        <w:tc>
          <w:tcPr>
            <w:tcW w:w="4400" w:type="dxa"/>
          </w:tcPr>
          <w:p>
            <w:r>
              <w:t xml:space="preserve">Total Macs in Jamf</w:t>
            </w:r>
          </w:p>
        </w:tc>
        <w:tc>
          <w:tcPr>
            <w:tcW w:w="4600" w:type="dxa"/>
          </w:tcPr>
          <w:p>
            <w:r>
              <w:t xml:space="preserve">595</w:t>
            </w:r>
          </w:p>
        </w:tc>
      </w:tr>
      <w:tr>
        <w:tc>
          <w:tcPr>
            <w:tcW w:w="4400" w:type="dxa"/>
          </w:tcPr>
          <w:p>
            <w:r>
              <w:t xml:space="preserve">Running macOS 13 (Ventura, EOL)</w:t>
            </w:r>
          </w:p>
        </w:tc>
        <w:tc>
          <w:tcPr>
            <w:tcW w:w="4600" w:type="dxa"/>
          </w:tcPr>
          <w:p>
            <w:r>
              <w:t xml:space="preserve">27</w:t>
            </w:r>
          </w:p>
        </w:tc>
      </w:tr>
      <w:tr>
        <w:tc>
          <w:tcPr>
            <w:tcW w:w="4400" w:type="dxa"/>
          </w:tcPr>
          <w:p>
            <w:r>
              <w:t xml:space="preserve">Ventura Macs also in ServiceNow</w:t>
            </w:r>
          </w:p>
        </w:tc>
        <w:tc>
          <w:tcPr>
            <w:tcW w:w="4600" w:type="dxa"/>
          </w:tcPr>
          <w:p>
            <w:r>
              <w:t xml:space="preserve">~20</w:t>
            </w:r>
          </w:p>
        </w:tc>
      </w:tr>
      <w:tr>
        <w:tc>
          <w:tcPr>
            <w:tcW w:w="4400" w:type="dxa"/>
          </w:tcPr>
          <w:p>
            <w:r>
              <w:t xml:space="preserve">Ventura Macs not in ServiceNow (gap)</w:t>
            </w:r>
          </w:p>
        </w:tc>
        <w:tc>
          <w:tcPr>
            <w:tcW w:w="4600" w:type="dxa"/>
          </w:tcPr>
          <w:p>
            <w:r>
              <w:t xml:space="preserve">~7</w:t>
            </w:r>
          </w:p>
        </w:tc>
      </w:tr>
      <w:tr>
        <w:tc>
          <w:tcPr>
            <w:tcW w:w="4400" w:type="dxa"/>
          </w:tcPr>
          <w:p>
            <w:r>
              <w:t xml:space="preserve">Sites affected</w:t>
            </w:r>
          </w:p>
        </w:tc>
        <w:tc>
          <w:tcPr>
            <w:tcW w:w="4600" w:type="dxa"/>
          </w:tcPr>
          <w:p>
            <w:r>
              <w:t>SFO, NYC, LON</w:t>
            </w:r>
          </w:p>
        </w:tc>
      </w:tr>
    </w:tbl>
    <w:p/>
    <w:p>
      <w:pPr>
        <w:pStyle w:val="Heading2"/>
      </w:pPr>
      <w:r>
        <w:t xml:space="preserve">Scenario D — Windows 10 End-of-Life (Intune / ServiceNow)</w:t>
      </w:r>
    </w:p>
    <w:p>
      <w:r>
        <w:t xml:space="preserve">39 Windows 10 devices remain in the fleet. Microsoft ended mainstream support in October 2025. Visible in both Intune and ServiceNow, but correlation is needed to surface the full exposure across both sources.</w:t>
      </w:r>
    </w:p>
    <w:tbl>
      <w:tblPr>
        <w:tblStyle w:val="TableGrid"/>
        <w:tblW w:w="9000" w:type="dxa"/>
        <w:tblLayout w:type="fixed"/>
      </w:tblPr>
      <w:tblGrid>
        <w:gridCol w:w="4400"/>
        <w:gridCol w:w="4600"/>
      </w:tblGrid>
      <w:tr>
        <w:tc>
          <w:tcPr>
            <w:tcW w:w="4400" w:type="dxa"/>
            <w:shd w:val="clear" w:color="auto" w:fill="D9D9D9"/>
          </w:tcPr>
          <w:p>
            <w:r>
              <w:rPr>
                <w:b/>
              </w:rPr>
              <w:t xml:space="preserve">Metric</w:t>
            </w:r>
          </w:p>
        </w:tc>
        <w:tc>
          <w:tcPr>
            <w:tcW w:w="4600" w:type="dxa"/>
            <w:shd w:val="clear" w:color="auto" w:fill="D9D9D9"/>
          </w:tcPr>
          <w:p>
            <w:r>
              <w:rPr>
                <w:b/>
              </w:rPr>
              <w:t xml:space="preserve">Value</w:t>
            </w:r>
          </w:p>
        </w:tc>
      </w:tr>
      <w:tr>
        <w:tc>
          <w:tcPr>
            <w:tcW w:w="4400" w:type="dxa"/>
          </w:tcPr>
          <w:p>
            <w:r>
              <w:t xml:space="preserve">Total Windows 10 devices</w:t>
            </w:r>
          </w:p>
        </w:tc>
        <w:tc>
          <w:tcPr>
            <w:tcW w:w="4600" w:type="dxa"/>
          </w:tcPr>
          <w:p>
            <w:r>
              <w:t xml:space="preserve">39</w:t>
            </w:r>
          </w:p>
        </w:tc>
      </w:tr>
      <w:tr>
        <w:tc>
          <w:tcPr>
            <w:tcW w:w="4400" w:type="dxa"/>
          </w:tcPr>
          <w:p>
            <w:r>
              <w:t xml:space="preserve">In ServiceNow CMDB</w:t>
            </w:r>
          </w:p>
        </w:tc>
        <w:tc>
          <w:tcPr>
            <w:tcW w:w="4600" w:type="dxa"/>
          </w:tcPr>
          <w:p>
            <w:r>
              <w:t xml:space="preserve">~30</w:t>
            </w:r>
          </w:p>
        </w:tc>
      </w:tr>
      <w:tr>
        <w:tc>
          <w:tcPr>
            <w:tcW w:w="4400" w:type="dxa"/>
          </w:tcPr>
          <w:p>
            <w:r>
              <w:t xml:space="preserve">In Intune MDM</w:t>
            </w:r>
          </w:p>
        </w:tc>
        <w:tc>
          <w:tcPr>
            <w:tcW w:w="4600" w:type="dxa"/>
          </w:tcPr>
          <w:p>
            <w:r>
              <w:t xml:space="preserve">~35</w:t>
            </w:r>
          </w:p>
        </w:tc>
      </w:tr>
      <w:tr>
        <w:tc>
          <w:tcPr>
            <w:tcW w:w="4400" w:type="dxa"/>
          </w:tcPr>
          <w:p>
            <w:r>
              <w:t xml:space="preserve">Sites affected</w:t>
            </w:r>
          </w:p>
        </w:tc>
        <w:tc>
          <w:tcPr>
            <w:tcW w:w="4600" w:type="dxa"/>
          </w:tcPr>
          <w:p>
            <w:r>
              <w:t>SFO, NYC, LON, AMS</w:t>
            </w:r>
          </w:p>
        </w:tc>
      </w:tr>
    </w:tbl>
    <w:p/>
    <w:p>
      <w:pPr>
        <w:pStyle w:val="Heading2"/>
      </w:pPr>
      <w:r>
        <w:t xml:space="preserve">Scenario E — Managed Endpoints Invisible to the CMDB</w:t>
      </w:r>
    </w:p>
    <w:p>
      <w:r>
        <w:t>The headline gap story: 182 endpoints are enrolled in CrowdStrike, Jamf, or Intune but don't exist in ServiceNow — the CMDB underreports managed devices by roughly 11%.</w:t>
      </w:r>
    </w:p>
    <w:tbl>
      <w:tblPr>
        <w:tblStyle w:val="TableGrid"/>
        <w:tblW w:w="9000" w:type="dxa"/>
        <w:tblLayout w:type="fixed"/>
      </w:tblPr>
      <w:tblGrid>
        <w:gridCol w:w="4400"/>
        <w:gridCol w:w="4600"/>
      </w:tblGrid>
      <w:tr>
        <w:tc>
          <w:tcPr>
            <w:tcW w:w="4400" w:type="dxa"/>
            <w:shd w:val="clear" w:color="auto" w:fill="D9D9D9"/>
          </w:tcPr>
          <w:p>
            <w:r>
              <w:rPr>
                <w:b/>
              </w:rPr>
              <w:t xml:space="preserve">Metric</w:t>
            </w:r>
          </w:p>
        </w:tc>
        <w:tc>
          <w:tcPr>
            <w:tcW w:w="4600" w:type="dxa"/>
            <w:shd w:val="clear" w:color="auto" w:fill="D9D9D9"/>
          </w:tcPr>
          <w:p>
            <w:r>
              <w:rPr>
                <w:b/>
              </w:rPr>
              <w:t xml:space="preserve">Value</w:t>
            </w:r>
          </w:p>
        </w:tc>
      </w:tr>
      <w:tr>
        <w:tc>
          <w:tcPr>
            <w:tcW w:w="4400" w:type="dxa"/>
          </w:tcPr>
          <w:p>
            <w:r>
              <w:t xml:space="preserve">CrowdStrike endpoints not in SN CMDB</w:t>
            </w:r>
          </w:p>
        </w:tc>
        <w:tc>
          <w:tcPr>
            <w:tcW w:w="4600" w:type="dxa"/>
          </w:tcPr>
          <w:p>
            <w:r>
              <w:t>88</w:t>
            </w:r>
          </w:p>
        </w:tc>
      </w:tr>
      <w:tr>
        <w:tc>
          <w:tcPr>
            <w:tcW w:w="4400" w:type="dxa"/>
          </w:tcPr>
          <w:p>
            <w:r>
              <w:t xml:space="preserve">Jamf-managed Macs not in SN CMDB</w:t>
            </w:r>
          </w:p>
        </w:tc>
        <w:tc>
          <w:tcPr>
            <w:tcW w:w="4600" w:type="dxa"/>
          </w:tcPr>
          <w:p>
            <w:r>
              <w:t xml:space="preserve">86</w:t>
            </w:r>
          </w:p>
        </w:tc>
      </w:tr>
      <w:tr>
        <w:tc>
          <w:tcPr>
            <w:tcW w:w="4400" w:type="dxa"/>
          </w:tcPr>
          <w:p>
            <w:r>
              <w:t xml:space="preserve">Intune Windows not in SN CMDB</w:t>
            </w:r>
          </w:p>
        </w:tc>
        <w:tc>
          <w:tcPr>
            <w:tcW w:w="4600" w:type="dxa"/>
          </w:tcPr>
          <w:p>
            <w:r>
              <w:t xml:space="preserve">75</w:t>
            </w:r>
          </w:p>
        </w:tc>
      </w:tr>
      <w:tr>
        <w:tc>
          <w:tcPr>
            <w:tcW w:w="4400" w:type="dxa"/>
          </w:tcPr>
          <w:p>
            <w:r>
              <w:t xml:space="preserve">Estimated unique CMDB-gap endpoints</w:t>
            </w:r>
          </w:p>
        </w:tc>
        <w:tc>
          <w:tcPr>
            <w:tcW w:w="4600" w:type="dxa"/>
          </w:tcPr>
          <w:p>
            <w:r>
              <w:t xml:space="preserve">~182</w:t>
            </w:r>
          </w:p>
        </w:tc>
      </w:tr>
      <w:tr>
        <w:tc>
          <w:tcPr>
            <w:tcW w:w="4400" w:type="dxa"/>
          </w:tcPr>
          <w:p>
            <w:r>
              <w:t xml:space="preserve">CMDB underreport rate (computers)</w:t>
            </w:r>
          </w:p>
        </w:tc>
        <w:tc>
          <w:tcPr>
            <w:tcW w:w="4600" w:type="dxa"/>
          </w:tcPr>
          <w:p>
            <w:r>
              <w:t>~22%</w:t>
            </w:r>
          </w:p>
        </w:tc>
      </w:tr>
    </w:tbl>
    <w:p/>
    <w:p>
      <w:pPr>
        <w:pStyle w:val="Heading2"/>
      </w:pPr>
      <w:r>
        <w:t>UAI Location Field Sources</w:t>
      </w:r>
    </w:p>
    <w:p>
      <w:pPr>
        <w:pStyle w:val="ListBullet"/>
      </w:pPr>
      <w:r>
        <w:t xml:space="preserve">CrowdStrike: reads zone_group field → city name</w:t>
      </w:r>
    </w:p>
    <w:p>
      <w:pPr>
        <w:pStyle w:val="ListBullet"/>
      </w:pPr>
      <w:r>
        <w:t xml:space="preserve">ServiceNow: reads u_region from linked cmn_location record → city name</w:t>
      </w:r>
    </w:p>
    <w:p>
      <w:pPr>
        <w:pStyle w:val="ListBullet"/>
      </w:pPr>
      <w:r>
        <w:t xml:space="preserve">Jamf Pro: reads userAndLocation.building → city name (other sub-fields cleared to avoid concatenation)</w:t>
      </w:r>
    </w:p>
    <w:p>
      <w:pPr>
        <w:pStyle w:val="ListBullet"/>
      </w:pPr>
      <w:r>
        <w:t xml:space="preserve">Mist: reads map name → floor location (e.g. 'Bangalore - 4th Floor'); 15 floor maps served across 3 sites</w:t>
      </w:r>
    </w:p>
    <w:p>
      <w:pPr>
        <w:pStyle w:val="ListBullet"/>
      </w:pPr>
      <w:r>
        <w:t xml:space="preserve">Meraki: geocodes device lat/lng → city name (San Francisco, New York, London)</w:t>
      </w:r>
    </w:p>
    <w:sectPr w:rsidRPr="005166FC" w:rsidR="00A07982">
      <w:headerReference w:type="default" r:id="rId11"/>
      <w:footerReference w:type="even" r:id="rId12"/>
      <w:footerReference w:type="default" r:id="rId13"/>
      <w:footerReference w:type="first" r:id="rId14"/>
      <w:pgSz w:w="12240" w:h="15840" w:orient="portrait"/>
      <w:pgMar w:top="2520" w:right="144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0818" w:rsidRDefault="00CD0818" w14:paraId="2F7D2501" w14:textId="77777777">
      <w:pPr>
        <w:spacing w:line="240" w:lineRule="auto"/>
      </w:pPr>
      <w:r>
        <w:separator/>
      </w:r>
    </w:p>
  </w:endnote>
  <w:endnote w:type="continuationSeparator" w:id="0">
    <w:p w:rsidR="00CD0818" w:rsidRDefault="00CD0818" w14:paraId="2546CAB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87ECC" w:rsidRDefault="00287ECC" w14:paraId="7D84EB7E" w14:textId="0B6C829C">
    <w:pPr>
      <w:pStyle w:val="Footer"/>
    </w:pPr>
    <w:r>
      <w:rPr>
        <w:noProof/>
      </w:rPr>
      <mc:AlternateContent>
        <mc:Choice Requires="wps">
          <w:drawing>
            <wp:anchor distT="0" distB="0" distL="0" distR="0" simplePos="0" relativeHeight="251662336" behindDoc="0" locked="0" layoutInCell="1" allowOverlap="1" wp14:anchorId="5CDB56B0" wp14:editId="63250184">
              <wp:simplePos x="635" y="635"/>
              <wp:positionH relativeFrom="page">
                <wp:align>left</wp:align>
              </wp:positionH>
              <wp:positionV relativeFrom="page">
                <wp:align>bottom</wp:align>
              </wp:positionV>
              <wp:extent cx="654050" cy="371475"/>
              <wp:effectExtent l="0" t="0" r="12700" b="0"/>
              <wp:wrapNone/>
              <wp:docPr id="200359632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rsidRPr="00287ECC" w:rsidR="00287ECC" w:rsidP="00287ECC" w:rsidRDefault="00287ECC" w14:paraId="24D12976" w14:textId="07304DCA">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CDB56B0">
              <v:stroke joinstyle="miter"/>
              <v:path gradientshapeok="t" o:connecttype="rect"/>
            </v:shapetype>
            <v:shape id="Text Box 2" style="position:absolute;margin-left:0;margin-top:0;width:51.5pt;height:29.25pt;z-index:251662336;visibility:visible;mso-wrap-style:none;mso-wrap-distance-left:0;mso-wrap-distance-top:0;mso-wrap-distance-right:0;mso-wrap-distance-bottom:0;mso-position-horizontal:left;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">
              <v:fill o:detectmouseclick="t"/>
              <v:textbox style="mso-fit-shape-to-text:t" inset="20pt,0,0,15pt">
                <w:txbxContent>
                  <w:p w:rsidRPr="00287ECC" w:rsidR="00287ECC" w:rsidP="00287ECC" w:rsidRDefault="00287ECC" w14:paraId="24D12976" w14:textId="07304DCA">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575B4" w:rsidRDefault="00287ECC" w14:paraId="49D6AD95" w14:textId="3B0651C2">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0" distR="0" simplePos="0" relativeHeight="251663360" behindDoc="0" locked="0" layoutInCell="1" allowOverlap="1" wp14:anchorId="7C7B4F46" wp14:editId="11AC1B88">
              <wp:simplePos x="635" y="635"/>
              <wp:positionH relativeFrom="page">
                <wp:align>left</wp:align>
              </wp:positionH>
              <wp:positionV relativeFrom="page">
                <wp:align>bottom</wp:align>
              </wp:positionV>
              <wp:extent cx="654050" cy="371475"/>
              <wp:effectExtent l="0" t="0" r="12700" b="0"/>
              <wp:wrapNone/>
              <wp:docPr id="29066807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rsidRPr="00287ECC" w:rsidR="00287ECC" w:rsidP="00287ECC" w:rsidRDefault="00287ECC" w14:paraId="522E4703" w14:textId="54671561">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C7B4F46">
              <v:stroke joinstyle="miter"/>
              <v:path gradientshapeok="t" o:connecttype="rect"/>
            </v:shapetype>
            <v:shape id="Text Box 3" style="position:absolute;margin-left:0;margin-top:0;width:51.5pt;height:29.25pt;z-index:251663360;visibility:visible;mso-wrap-style:none;mso-wrap-distance-left:0;mso-wrap-distance-top:0;mso-wrap-distance-right:0;mso-wrap-distance-bottom:0;mso-position-horizontal:left;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">
              <v:fill o:detectmouseclick="t"/>
              <v:textbox style="mso-fit-shape-to-text:t" inset="20pt,0,0,15pt">
                <w:txbxContent>
                  <w:p w:rsidRPr="00287ECC" w:rsidR="00287ECC" w:rsidP="00287ECC" w:rsidRDefault="00287ECC" w14:paraId="522E4703" w14:textId="54671561">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v:textbox>
              <w10:wrap anchorx="page" anchory="page"/>
            </v:shape>
          </w:pict>
        </mc:Fallback>
      </mc:AlternateContent>
    </w:r>
    <w:r w:rsidR="00920BFC">
      <w:rPr>
        <w:noProof/>
      </w:rPr>
      <mc:AlternateContent>
        <mc:Choice Requires="wps">
          <w:drawing>
            <wp:anchor distT="0" distB="0" distL="114300" distR="114300" simplePos="0" relativeHeight="251659264" behindDoc="0" locked="0" layoutInCell="1" hidden="0" allowOverlap="1" wp14:anchorId="2479FC03" wp14:editId="76C5D721">
              <wp:simplePos x="0" y="0"/>
              <wp:positionH relativeFrom="column">
                <wp:posOffset>-177799</wp:posOffset>
              </wp:positionH>
              <wp:positionV relativeFrom="paragraph">
                <wp:posOffset>152400</wp:posOffset>
              </wp:positionV>
              <wp:extent cx="6882936" cy="266379"/>
              <wp:effectExtent l="0" t="0" r="0" b="0"/>
              <wp:wrapNone/>
              <wp:docPr id="12" name="Rectangle 12"/>
              <wp:cNvGraphicFramePr/>
              <a:graphic xmlns:a="http://schemas.openxmlformats.org/drawingml/2006/main">
                <a:graphicData uri="http://schemas.microsoft.com/office/word/2010/wordprocessingShape">
                  <wps:wsp>
                    <wps:cNvSpPr/>
                    <wps:spPr>
                      <a:xfrm>
                        <a:off x="1909295" y="3651573"/>
                        <a:ext cx="6873411" cy="256854"/>
                      </a:xfrm>
                      <a:prstGeom prst="rect">
                        <a:avLst/>
                      </a:prstGeom>
                      <a:solidFill>
                        <a:schemeClr val="lt1"/>
                      </a:solidFill>
                      <a:ln>
                        <a:noFill/>
                      </a:ln>
                    </wps:spPr>
                    <wps:txbx>
                      <w:txbxContent>
                        <w:p w:rsidR="004575B4" w:rsidRDefault="00920BFC" w14:paraId="5E8CA31F" w14:textId="77777777">
                          <w:pPr>
                            <w:spacing w:line="275" w:lineRule="auto"/>
                            <w:textDirection w:val="btLr"/>
                          </w:pPr>
                          <w:r>
                            <w:rPr>
                              <w:rFonts w:ascii="Lato" w:hAnsi="Lato" w:eastAsia="Lato" w:cs="Lato"/>
                              <w:color w:val="A6A6A6"/>
                              <w:sz w:val="16"/>
                            </w:rPr>
                            <w:t>© Infoblox Inc. All rights reserved.</w:t>
                          </w:r>
                        </w:p>
                      </w:txbxContent>
                    </wps:txbx>
                    <wps:bodyPr spcFirstLastPara="1" wrap="square" lIns="91425" tIns="45700" rIns="91425" bIns="45700" anchor="t" anchorCtr="0">
                      <a:noAutofit/>
                    </wps:bodyPr>
                  </wps:wsp>
                </a:graphicData>
              </a:graphic>
            </wp:anchor>
          </w:drawing>
        </mc:Choice>
        <mc:Fallback xmlns:a="http://schemas.openxmlformats.org/drawingml/2006/main">
          <w:pict>
            <v:rect id="Rectangle 12" style="position:absolute;margin-left:-14pt;margin-top:12pt;width:541.95pt;height:20.9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w14:anchorId="2479FC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">
              <v:textbox inset="2.53958mm,1.2694mm,2.53958mm,1.2694mm">
                <w:txbxContent>
                  <w:p w:rsidR="004575B4" w:rsidRDefault="00920BFC" w14:paraId="5E8CA31F" w14:textId="77777777">
                    <w:pPr>
                      <w:spacing w:line="275" w:lineRule="auto"/>
                      <w:textDirection w:val="btLr"/>
                    </w:pPr>
                    <w:r>
                      <w:rPr>
                        <w:rFonts w:ascii="Lato" w:hAnsi="Lato" w:eastAsia="Lato" w:cs="Lato"/>
                        <w:color w:val="A6A6A6"/>
                        <w:sz w:val="16"/>
                      </w:rPr>
                      <w:t>© Infoblox Inc. All rights reserved.</w:t>
                    </w:r>
                  </w:p>
                </w:txbxContent>
              </v:textbox>
            </v:rect>
          </w:pict>
        </mc:Fallback>
      </mc:AlternateContent>
    </w:r>
    <w:r w:rsidR="00920BFC">
      <w:rPr>
        <w:noProof/>
      </w:rPr>
      <mc:AlternateContent>
        <mc:Choice Requires="wps">
          <w:drawing>
            <wp:anchor distT="0" distB="0" distL="114300" distR="114300" simplePos="0" relativeHeight="251660288" behindDoc="0" locked="0" layoutInCell="1" hidden="0" allowOverlap="1" wp14:anchorId="1EDAF73D" wp14:editId="514BA884">
              <wp:simplePos x="0" y="0"/>
              <wp:positionH relativeFrom="column">
                <wp:posOffset>-177799</wp:posOffset>
              </wp:positionH>
              <wp:positionV relativeFrom="paragraph">
                <wp:posOffset>127000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909380" y="3780000"/>
                        <a:ext cx="6873240" cy="0"/>
                      </a:xfrm>
                      <a:prstGeom prst="straightConnector1">
                        <a:avLst/>
                      </a:prstGeom>
                      <a:noFill/>
                      <a:ln w="9525" cap="flat" cmpd="sng">
                        <a:solidFill>
                          <a:srgbClr val="D8D8D8"/>
                        </a:solidFill>
                        <a:prstDash val="solid"/>
                        <a:miter lim="800000"/>
                        <a:headEnd type="none" w="sm" len="sm"/>
                        <a:tailEnd type="none" w="sm" len="sm"/>
                      </a:ln>
                    </wps:spPr>
                    <wps:bodyPr/>
                  </wps:wsp>
                </a:graphicData>
              </a:graphic>
            </wp:anchor>
          </w:drawing>
        </mc:Choice>
        <mc:Fallback xmlns:a="http://schemas.openxmlformats.org/drawingml/2006/main">
          <w:pict>
            <v:shapetype id="_x0000_t32" coordsize="21600,21600" o:oned="t" filled="f" o:spt="32" path="m,l21600,21600e" w14:anchorId="2EA8E5CC">
              <v:path fillok="f" arrowok="t" o:connecttype="none"/>
              <o:lock v:ext="edit" shapetype="t"/>
            </v:shapetype>
            <v:shape id="Straight Arrow Connector 13" style="position:absolute;margin-left:-14pt;margin-top:10pt;width:0;height:1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d8d8d8"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">
              <v:stroke joinstyle="miter" startarrowwidth="narrow" startarrowlength="short" endarrowwidth="narrow" endarrowlength="shor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87ECC" w:rsidRDefault="00287ECC" w14:paraId="382155CB" w14:textId="317C316F">
    <w:pPr>
      <w:pStyle w:val="Footer"/>
    </w:pPr>
    <w:r>
      <w:rPr>
        <w:noProof/>
      </w:rPr>
      <mc:AlternateContent>
        <mc:Choice Requires="wps">
          <w:drawing>
            <wp:anchor distT="0" distB="0" distL="0" distR="0" simplePos="0" relativeHeight="251661312" behindDoc="0" locked="0" layoutInCell="1" allowOverlap="1" wp14:anchorId="04814DAA" wp14:editId="4591A12A">
              <wp:simplePos x="635" y="635"/>
              <wp:positionH relativeFrom="page">
                <wp:align>left</wp:align>
              </wp:positionH>
              <wp:positionV relativeFrom="page">
                <wp:align>bottom</wp:align>
              </wp:positionV>
              <wp:extent cx="654050" cy="371475"/>
              <wp:effectExtent l="0" t="0" r="12700" b="0"/>
              <wp:wrapNone/>
              <wp:docPr id="130926371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rsidRPr="00287ECC" w:rsidR="00287ECC" w:rsidP="00287ECC" w:rsidRDefault="00287ECC" w14:paraId="282C7DB9" w14:textId="77777777">
                          <w:pPr>
                            <w:rPr>
                              <w:rFonts w:ascii="Aptos" w:hAnsi="Aptos" w:eastAsia="Aptos" w:cs="Aptos"/>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4814DAA">
              <v:stroke joinstyle="miter"/>
              <v:path gradientshapeok="t" o:connecttype="rect"/>
            </v:shapetype>
            <v:shape id="Text Box 1" style="position:absolute;margin-left:0;margin-top:0;width:51.5pt;height:29.25pt;z-index:251661312;visibility:visible;mso-wrap-style:none;mso-wrap-distance-left:0;mso-wrap-distance-top:0;mso-wrap-distance-right:0;mso-wrap-distance-bottom:0;mso-position-horizontal:left;mso-position-horizontal-relative:page;mso-position-vertical:bottom;mso-position-vertical-relative:page;v-text-anchor:bottom" alt="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">
              <v:fill o:detectmouseclick="t"/>
              <v:textbox style="mso-fit-shape-to-text:t" inset="20pt,0,0,15pt">
                <w:txbxContent>
                  <w:p w:rsidRPr="00287ECC" w:rsidR="00287ECC" w:rsidP="00287ECC" w:rsidRDefault="00287ECC" w14:paraId="282C7DB9" w14:textId="77777777">
                    <w:pPr>
                      <w:rPr>
                        <w:rFonts w:ascii="Aptos" w:hAnsi="Aptos" w:eastAsia="Aptos" w:cs="Aptos"/>
                        <w:noProof/>
                        <w:color w:val="000000"/>
                        <w:sz w:val="2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0818" w:rsidRDefault="00CD0818" w14:paraId="3BE2D6D7" w14:textId="77777777">
      <w:pPr>
        <w:spacing w:line="240" w:lineRule="auto"/>
      </w:pPr>
      <w:r>
        <w:separator/>
      </w:r>
    </w:p>
  </w:footnote>
  <w:footnote w:type="continuationSeparator" w:id="0">
    <w:p w:rsidR="00CD0818" w:rsidRDefault="00CD0818" w14:paraId="500F010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575B4" w:rsidRDefault="00920BFC" w14:paraId="6BC7809D" w14:textId="77777777">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28252F0C" wp14:editId="358AAF75">
          <wp:simplePos x="0" y="0"/>
          <wp:positionH relativeFrom="column">
            <wp:posOffset>-678093</wp:posOffset>
          </wp:positionH>
          <wp:positionV relativeFrom="paragraph">
            <wp:posOffset>-462336</wp:posOffset>
          </wp:positionV>
          <wp:extent cx="7758430" cy="1119864"/>
          <wp:effectExtent l="0" t="0" r="0" b="0"/>
          <wp:wrapNone/>
          <wp:docPr id="14" name="image1.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pic:cNvPicPr preferRelativeResize="0"/>
                </pic:nvPicPr>
                <pic:blipFill>
                  <a:blip r:embed="rId1"/>
                  <a:srcRect/>
                  <a:stretch>
                    <a:fillRect/>
                  </a:stretch>
                </pic:blipFill>
                <pic:spPr>
                  <a:xfrm>
                    <a:off x="0" y="0"/>
                    <a:ext cx="7758430" cy="111986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272A2"/>
    <w:multiLevelType w:val="hybridMultilevel"/>
    <w:tmpl w:val="7584A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lvl w:ilvl="0">
      <w:start w:val="1"/>
      <w:numFmt w:val="bullet"/>
      <w:lvlText w:val="•"/>
      <w:lvlJc w:val="left"/>
      <w:pPr>
        <w:ind w:left="432" w:hanging="288"/>
      </w:pPr>
      <w:rPr>
        <w:rFonts w:ascii="Symbol" w:hAnsi="Symbol" w:hint="default"/>
      </w:rPr>
    </w:lvl>
  </w:abstractNum>
  <w:num w:numId="1" w16cid:durableId="1761561275">
    <w:abstractNumId w:val="0"/>
  </w:num>
  <w:num w:numId="2" w16cid:durableId="1761561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attachedTemplate r:id="rId1"/>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FD"/>
    <w:rsid w:val="000E48AB"/>
    <w:rsid w:val="00166334"/>
    <w:rsid w:val="001A7DFD"/>
    <w:rsid w:val="001C36E6"/>
    <w:rsid w:val="002422A2"/>
    <w:rsid w:val="00287ECC"/>
    <w:rsid w:val="002C0FDF"/>
    <w:rsid w:val="002D6916"/>
    <w:rsid w:val="00310645"/>
    <w:rsid w:val="003700F9"/>
    <w:rsid w:val="00371820"/>
    <w:rsid w:val="003B2636"/>
    <w:rsid w:val="004575B4"/>
    <w:rsid w:val="00467332"/>
    <w:rsid w:val="004E3F54"/>
    <w:rsid w:val="005166FC"/>
    <w:rsid w:val="005361CD"/>
    <w:rsid w:val="00586288"/>
    <w:rsid w:val="0059190B"/>
    <w:rsid w:val="00602582"/>
    <w:rsid w:val="00606B32"/>
    <w:rsid w:val="007E5E3B"/>
    <w:rsid w:val="008C51D2"/>
    <w:rsid w:val="00902017"/>
    <w:rsid w:val="00920BFC"/>
    <w:rsid w:val="009E5EC2"/>
    <w:rsid w:val="00A04F29"/>
    <w:rsid w:val="00A07982"/>
    <w:rsid w:val="00AC5CEE"/>
    <w:rsid w:val="00B10473"/>
    <w:rsid w:val="00B977ED"/>
    <w:rsid w:val="00C313DB"/>
    <w:rsid w:val="00C83121"/>
    <w:rsid w:val="00CD0818"/>
    <w:rsid w:val="00D27386"/>
    <w:rsid w:val="00D443CF"/>
    <w:rsid w:val="00D84258"/>
    <w:rsid w:val="00D949CF"/>
    <w:rsid w:val="00DB7530"/>
    <w:rsid w:val="00DD402F"/>
    <w:rsid w:val="00E751B6"/>
    <w:rsid w:val="00EA0763"/>
    <w:rsid w:val="00EA1607"/>
    <w:rsid w:val="00F206E9"/>
    <w:rsid w:val="00F54037"/>
    <w:rsid w:val="00F72AFF"/>
    <w:rsid w:val="0919B0F2"/>
    <w:rsid w:val="67E8E7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BA96"/>
  <w15:docId w15:val="{D4E8BDB9-52B4-674C-98F7-366869B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2F7D07"/>
    <w:pPr>
      <w:tabs>
        <w:tab w:val="center" w:pos="4680"/>
        <w:tab w:val="right" w:pos="9360"/>
      </w:tabs>
    </w:pPr>
  </w:style>
  <w:style w:type="character" w:styleId="HeaderChar" w:customStyle="1">
    <w:name w:val="Header Char"/>
    <w:basedOn w:val="DefaultParagraphFont"/>
    <w:link w:val="Header"/>
    <w:uiPriority w:val="99"/>
    <w:rsid w:val="002F7D07"/>
  </w:style>
  <w:style w:type="paragraph" w:styleId="Footer">
    <w:name w:val="footer"/>
    <w:basedOn w:val="Normal"/>
    <w:link w:val="FooterChar"/>
    <w:uiPriority w:val="99"/>
    <w:unhideWhenUsed/>
    <w:rsid w:val="002F7D07"/>
    <w:pPr>
      <w:tabs>
        <w:tab w:val="center" w:pos="4680"/>
        <w:tab w:val="right" w:pos="9360"/>
      </w:tabs>
    </w:pPr>
  </w:style>
  <w:style w:type="character" w:styleId="FooterChar" w:customStyle="1">
    <w:name w:val="Footer Char"/>
    <w:basedOn w:val="DefaultParagraphFont"/>
    <w:link w:val="Footer"/>
    <w:uiPriority w:val="99"/>
    <w:rsid w:val="002F7D07"/>
  </w:style>
  <w:style w:type="paragraph" w:styleId="NormalWeb">
    <w:name w:val="Normal (Web)"/>
    <w:basedOn w:val="Normal"/>
    <w:uiPriority w:val="99"/>
    <w:semiHidden/>
    <w:unhideWhenUsed/>
    <w:rsid w:val="002602DC"/>
    <w:pPr>
      <w:spacing w:before="100" w:beforeAutospacing="1" w:after="100" w:afterAutospacing="1" w:line="240" w:lineRule="auto"/>
    </w:pPr>
    <w:rPr>
      <w:rFonts w:ascii="Times New Roman" w:hAnsi="Times New Roman" w:eastAsia="Times New Roman" w:cs="Times New Roman"/>
    </w:rPr>
  </w:style>
  <w:style w:type="table" w:styleId="TableGrid">
    <w:name w:val="Table Grid"/>
    <w:basedOn w:val="TableNormal"/>
    <w:uiPriority w:val="39"/>
    <w:rsid w:val="009D3C35"/>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TitleChar" w:customStyle="1">
    <w:name w:val="Title Char"/>
    <w:basedOn w:val="DefaultParagraphFont"/>
    <w:link w:val="Title"/>
    <w:uiPriority w:val="10"/>
    <w:rsid w:val="008C51D2"/>
    <w:rPr>
      <w:b/>
      <w:sz w:val="72"/>
      <w:szCs w:val="72"/>
    </w:rPr>
  </w:style>
  <w:style w:type="paragraph" w:styleId="ListParagraph">
    <w:name w:val="List Paragraph"/>
    <w:basedOn w:val="Normal"/>
    <w:uiPriority w:val="34"/>
    <w:qFormat/>
    <w:rsid w:val="00EA0763"/>
    <w:pPr>
      <w:ind w:left="720"/>
      <w:contextualSpacing/>
    </w:pPr>
  </w:style>
  <w:style w:type="character" w:styleId="Hyperlink">
    <w:name w:val="Hyperlink"/>
    <w:basedOn w:val="DefaultParagraphFont"/>
    <w:uiPriority w:val="99"/>
    <w:unhideWhenUsed/>
    <w:rsid w:val="00B977ED"/>
    <w:rPr>
      <w:color w:val="0563C1" w:themeColor="hyperlink"/>
      <w:u w:val="single"/>
    </w:rPr>
  </w:style>
  <w:style w:type="character" w:styleId="UnresolvedMention">
    <w:name w:val="Unresolved Mention"/>
    <w:basedOn w:val="DefaultParagraphFont"/>
    <w:uiPriority w:val="99"/>
    <w:semiHidden/>
    <w:unhideWhenUsed/>
    <w:rsid w:val="00B977ED"/>
    <w:rPr>
      <w:color w:val="605E5C"/>
      <w:shd w:val="clear" w:color="auto" w:fill="E1DFDD"/>
    </w:rPr>
  </w:style>
  <w:style w:type="character" w:styleId="FollowedHyperlink">
    <w:name w:val="FollowedHyperlink"/>
    <w:basedOn w:val="DefaultParagraphFont"/>
    <w:uiPriority w:val="99"/>
    <w:semiHidden/>
    <w:unhideWhenUsed/>
    <w:rsid w:val="00C313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infoblox.sharepoint.com/sites/org-wide-templates/Infoblox/General-template%20(short%20doc).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7b149d6-05ed-4982-8029-6c375d4a3edb">
      <Terms xmlns="http://schemas.microsoft.com/office/infopath/2007/PartnerControls"/>
    </lcf76f155ced4ddcb4097134ff3c332f>
    <TaxCatchAll xmlns="aed4e747-c29a-4da4-8227-249e174df0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1BABD27ECE1C44BA82B2C3C1D4E524" ma:contentTypeVersion="12" ma:contentTypeDescription="Create a new document." ma:contentTypeScope="" ma:versionID="ac9ab8122394e82d96f5b43df35e24eb">
  <xsd:schema xmlns:xsd="http://www.w3.org/2001/XMLSchema" xmlns:xs="http://www.w3.org/2001/XMLSchema" xmlns:p="http://schemas.microsoft.com/office/2006/metadata/properties" xmlns:ns2="47b149d6-05ed-4982-8029-6c375d4a3edb" xmlns:ns3="aed4e747-c29a-4da4-8227-249e174df052" targetNamespace="http://schemas.microsoft.com/office/2006/metadata/properties" ma:root="true" ma:fieldsID="88820e9286011778db3f7f98b37f961c" ns2:_="" ns3:_="">
    <xsd:import namespace="47b149d6-05ed-4982-8029-6c375d4a3edb"/>
    <xsd:import namespace="aed4e747-c29a-4da4-8227-249e174df0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149d6-05ed-4982-8029-6c375d4a3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23b449-89b8-4f2f-be83-0838d65600c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d4e747-c29a-4da4-8227-249e174df0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3d8c20-1b35-4650-9524-24c50fa12609}" ma:internalName="TaxCatchAll" ma:showField="CatchAllData" ma:web="aed4e747-c29a-4da4-8227-249e174df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O+rVUPELB8XVNpw1fn7ZhvnPNg==">AMUW2mVnihge9WKmD2gQAVR8vJob3dR3VnaD5Osmz8Mo01NFQ7Pm915+kGurUv+EkaBqPsVGGbxlZh/r7v16w9ai5/b6M3NUeDLjdxijlI3IgI1WIUzR5bc=</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B5FAD9-A7B5-4737-ACBB-13AEAE65696F}">
  <ds:schemaRefs>
    <ds:schemaRef ds:uri="http://schemas.microsoft.com/office/2006/metadata/properties"/>
    <ds:schemaRef ds:uri="http://schemas.microsoft.com/office/infopath/2007/PartnerControls"/>
    <ds:schemaRef ds:uri="47b149d6-05ed-4982-8029-6c375d4a3edb"/>
    <ds:schemaRef ds:uri="aed4e747-c29a-4da4-8227-249e174df052"/>
  </ds:schemaRefs>
</ds:datastoreItem>
</file>

<file path=customXml/itemProps2.xml><?xml version="1.0" encoding="utf-8"?>
<ds:datastoreItem xmlns:ds="http://schemas.openxmlformats.org/officeDocument/2006/customXml" ds:itemID="{BBD0956E-B41A-4995-A4DA-8069752D0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149d6-05ed-4982-8029-6c375d4a3edb"/>
    <ds:schemaRef ds:uri="aed4e747-c29a-4da4-8227-249e174df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50FA261-BB49-49E8-BD01-3631E579EEF9}">
  <ds:schemaRefs>
    <ds:schemaRef ds:uri="http://schemas.microsoft.com/sharepoint/v3/contenttype/forms"/>
  </ds:schemaRefs>
</ds:datastoreItem>
</file>

<file path=docMetadata/LabelInfo.xml><?xml version="1.0" encoding="utf-8"?>
<clbl:labelList xmlns:clbl="http://schemas.microsoft.com/office/2020/mipLabelMetadata">
  <clbl:label id="{a7c8e135-586f-42d6-8c21-47cdac4a7ae0}" enabled="1" method="Standard" siteId="{ccf6dc4a-9fe9-4c20-85a6-46d2709e843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General-template%20(short%20doc).dotx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Steve Burke</dc:creator>
  <lastModifiedBy>Rahul Madhwani</lastModifiedBy>
  <revision>42</revision>
  <dcterms:created xsi:type="dcterms:W3CDTF">2026-03-30T01:02:00.0000000Z</dcterms:created>
  <dcterms:modified xsi:type="dcterms:W3CDTF">2026-06-23T20:25:00.3670398Z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0x010100171BABD27ECE1C44BA82B2C3C1D4E524</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ClassificationContentMarkingFooterShapeIds">
    <vt:lpwstr>4e09c765,776c7427,11533e29</vt:lpwstr>
  </property>
  <property fmtid="{D5CDD505-2E9C-101B-9397-08002B2CF9AE}" pid="14" name="ClassificationContentMarkingFooterFontProps">
    <vt:lpwstr>#000000,10,Aptos</vt:lpwstr>
  </property>
  <property fmtid="{D5CDD505-2E9C-101B-9397-08002B2CF9AE}" pid="15" name="ClassificationContentMarkingFooterText">
    <vt:lpwstr>Internal</vt:lpwstr>
  </property>
</Properties>
</file>