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1,392</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1,047</w:t>
            </w:r>
          </w:p>
        </w:tc>
        <w:tc>
          <w:tcPr>
            <w:tcW w:w="5200" w:type="dxa"/>
          </w:tcPr>
          <w:p>
            <w:r>
              <w:t xml:space="preserve">Wireless clients</w:t>
            </w:r>
          </w:p>
        </w:tc>
      </w:tr>
      <w:tr>
        <w:tc>
          <w:tcPr>
            <w:tcW w:w="2600" w:type="dxa"/>
          </w:tcPr>
          <w:p>
            <w:r>
              <w:t xml:space="preserve">Juniper Mist (AMS/SGP/BLR)</w:t>
            </w:r>
          </w:p>
        </w:tc>
        <w:tc>
          <w:tcPr>
            <w:tcW w:w="1200" w:type="dxa"/>
          </w:tcPr>
          <w:p>
            <w:r>
              <w:t>665</w:t>
            </w:r>
          </w:p>
        </w:tc>
        <w:tc>
          <w:tcPr>
            <w:tcW w:w="5200" w:type="dxa"/>
          </w:tcPr>
          <w:p>
            <w:r>
              <w:t>Wireless clients; floor-level location (e.g. 'Bangalore - 4th Floor')</w:t>
            </w:r>
          </w:p>
        </w:tc>
      </w:tr>
      <w:tr>
        <w:tc>
          <w:tcPr>
            <w:tcW w:w="2600" w:type="dxa"/>
          </w:tcPr>
          <w:p>
            <w:r>
              <w:t xml:space="preserve">Ordr (IoT/OT)</w:t>
            </w:r>
          </w:p>
        </w:tc>
        <w:tc>
          <w:tcPr>
            <w:tcW w:w="1200" w:type="dxa"/>
          </w:tcPr>
          <w:p>
            <w:r>
              <w:t>30</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1,425</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This is the most powerful moment in any UAI demo. ServiceNow reports 1,415 configuration items. UAI correlates across every other source and surfaces 2,403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0</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30</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Demo talking point: “ServiceNow told us we have 1,415 assets. UAI found 2,403.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88</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11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30</w:t>
            </w:r>
          </w:p>
        </w:tc>
      </w:tr>
      <w:tr>
        <w:tc>
          <w:tcPr>
            <w:tcW w:w="4400" w:type="dxa"/>
          </w:tcPr>
          <w:p>
            <w:r>
              <w:t xml:space="preserve">IoT devices on the wrong VLAN</w:t>
            </w:r>
          </w:p>
        </w:tc>
        <w:tc>
          <w:tcPr>
            <w:tcW w:w="4600" w:type="dxa"/>
          </w:tcPr>
          <w:p>
            <w:r>
              <w:t>11</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SFO</w:t>
            </w:r>
          </w:p>
        </w:tc>
      </w:tr>
    </w:tbl>
    <w:p/>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SFO, NYC, LON, AMS</w:t>
            </w:r>
          </w:p>
        </w:tc>
      </w:tr>
    </w:tbl>
    <w:p/>
    <w:p>
      <w:pPr>
        <w:pStyle w:val="Heading2"/>
      </w:pPr>
      <w:r>
        <w:t xml:space="preserve">Scenario E — Managed Endpoints Invisible to the CMDB</w:t>
      </w:r>
    </w:p>
    <w:p>
      <w:r>
        <w:t>The headline gap story: 182 endpoints are enrolled in CrowdStrike, Jamf, or Intune but don't exist in ServiceNow — the CMDB underreports managed devices by roughly 11%.</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88</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~22%</w:t>
            </w:r>
          </w:p>
        </w:tc>
      </w:tr>
    </w:tbl>
    <w:p/>
    <w:p>
      <w:pPr>
        <w:pStyle w:val="Heading2"/>
      </w:pPr>
      <w:r>
        <w:t>UAI Location Field Sources</w:t>
      </w:r>
    </w:p>
    <w:p>
      <w:pPr>
        <w:pStyle w:val="ListBullet"/>
      </w:pPr>
      <w:r>
        <w:t xml:space="preserve">CrowdStrike: reads zone_group field → city name</w:t>
      </w:r>
    </w:p>
    <w:p>
      <w:pPr>
        <w:pStyle w:val="ListBullet"/>
      </w:pPr>
      <w:r>
        <w:t xml:space="preserve">ServiceNow: reads u_region from linked cmn_location record → city name</w:t>
      </w:r>
    </w:p>
    <w:p>
      <w:pPr>
        <w:pStyle w:val="ListBullet"/>
      </w:pPr>
      <w:r>
        <w:t xml:space="preserve">Jamf Pro: reads userAndLocation.building → city name (other sub-fields cleared to avoid concatenation)</w:t>
      </w:r>
    </w:p>
    <w:p>
      <w:pPr>
        <w:pStyle w:val="ListBullet"/>
      </w:pPr>
      <w:r>
        <w:t xml:space="preserve">Mist: reads map name → floor location (e.g. 'Bangalore - 4th Floor'); 15 floor maps served across 3 sites</w:t>
      </w:r>
    </w:p>
    <w:p>
      <w:pPr>
        <w:pStyle w:val="ListBullet"/>
      </w:pPr>
      <w:r>
        <w:t xml:space="preserve">Meraki: geocodes device lat/lng → city name (San Francisco, New York, London)</w:t>
      </w:r>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