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 xml:space="preserve">1,186</w:t>
            </w:r>
          </w:p>
        </w:tc>
        <w:tc>
          <w:tcPr>
            <w:tcW w:w="5200" w:type="dxa"/>
          </w:tcPr>
          <w:p>
            <w:r>
              <w:t xml:space="preserve">Wireless clients</w:t>
            </w:r>
          </w:p>
        </w:tc>
      </w:tr>
      <w:tr>
        <w:tc>
          <w:tcPr>
            <w:tcW w:w="2600" w:type="dxa"/>
          </w:tcPr>
          <w:p>
            <w:r>
              <w:t xml:space="preserve">Juniper Mist (AMS/SGP/BLR)</w:t>
            </w:r>
          </w:p>
        </w:tc>
        <w:tc>
          <w:tcPr>
            <w:tcW w:w="1200" w:type="dxa"/>
          </w:tcPr>
          <w:p>
            <w:r>
              <w:t xml:space="preserve">750</w:t>
            </w:r>
          </w:p>
        </w:tc>
        <w:tc>
          <w:tcPr>
            <w:tcW w:w="5200" w:type="dxa"/>
          </w:tcPr>
          <w:p>
            <w:r>
              <w:t xml:space="preserve">Wireless clients</w:t>
            </w:r>
          </w:p>
        </w:tc>
      </w:tr>
      <w:tr>
        <w:tc>
          <w:tcPr>
            <w:tcW w:w="2600" w:type="dxa"/>
          </w:tcPr>
          <w:p>
            <w:r>
              <w:t xml:space="preserve">Ordr (IoT/OT)</w:t>
            </w:r>
          </w:p>
        </w:tc>
        <w:tc>
          <w:tcPr>
            <w:tcW w:w="1200" w:type="dxa"/>
          </w:tcPr>
          <w:p>
            <w:r>
              <w:t xml:space="preserve">829</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 xml:space="preserve">1,587</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 xml:space="preserve">This is the most powerful moment in any UAI demo. ServiceNow reports 1,415 configuration items. UAI correlates across every other source and surfaces 2,390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 xml:space="preserve">245</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 xml:space="preserve">17</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 xml:space="preserve">Demo talking point: “ServiceNow told us we have 1,415 assets. UAI found 2,390.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 xml:space="preserve">125</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 xml:space="preserve">22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 xml:space="preserve">245</w:t>
            </w:r>
          </w:p>
        </w:tc>
      </w:tr>
      <w:tr>
        <w:tc>
          <w:tcPr>
            <w:tcW w:w="4400" w:type="dxa"/>
          </w:tcPr>
          <w:p>
            <w:r>
              <w:t xml:space="preserve">IoT devices on the wrong VLAN</w:t>
            </w:r>
          </w:p>
        </w:tc>
        <w:tc>
          <w:tcPr>
            <w:tcW w:w="4600" w:type="dxa"/>
          </w:tcPr>
          <w:p>
            <w:r>
              <w:t xml:space="preserve">22</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 xml:space="preserve">SFO, NYC, LON</w:t>
            </w:r>
          </w:p>
        </w:tc>
      </w:tr>
    </w:tbl>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 xml:space="preserve">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 xml:space="preserve">SFO, NYC, LON, AMS</w:t>
            </w:r>
          </w:p>
        </w:tc>
      </w:tr>
    </w:tbl>
    <w:p/>
    <w:p>
      <w:pPr>
        <w:pStyle w:val="Heading2"/>
      </w:pPr>
      <w:r>
        <w:t xml:space="preserve">Scenario E — Managed Endpoints Invisible to the CMDB</w:t>
      </w:r>
    </w:p>
    <w:p>
      <w:r>
        <w:t xml:space="preserve">The headline gap story: 182 endpoints are enrolled in CrowdStrike, Jamf, or Intune but don't exist in ServiceNow — the CMDB underreports managed devices by roughly 22%.</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 xml:space="preserve">125</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 xml:space="preserve">~22%</w:t>
            </w:r>
          </w:p>
        </w:tc>
      </w:tr>
    </w:tbl>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3.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