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AF98DC" w14:textId="77777777" w:rsidR="007206C9" w:rsidRDefault="00000000">
      <w:pPr>
        <w:pStyle w:val="Title"/>
      </w:pPr>
      <w:r>
        <w:t>Universal Asset Insights</w:t>
      </w:r>
    </w:p>
    <w:p w14:paraId="2688276F" w14:textId="77777777" w:rsidR="007206C9" w:rsidRDefault="00000000">
      <w:pPr>
        <w:pStyle w:val="Subtitle"/>
      </w:pPr>
      <w:r>
        <w:t>Sales Playbook — The Story, The Pitch, The Positioning</w:t>
      </w:r>
    </w:p>
    <w:p w14:paraId="505D9C5F" w14:textId="77777777" w:rsidR="007206C9" w:rsidRDefault="00000000">
      <w:r>
        <w:rPr>
          <w:i/>
        </w:rPr>
        <w:t>Version 1.0 · July 2026 · Internal Sales, SE, SA &amp; Partner Enablement · Do not share externally</w:t>
      </w:r>
    </w:p>
    <w:p w14:paraId="3244DA8E" w14:textId="77777777" w:rsidR="007206C9" w:rsidRDefault="007206C9"/>
    <w:p w14:paraId="1AD288DB" w14:textId="388DE24B" w:rsidR="007206C9" w:rsidRDefault="00000000">
      <w:r>
        <w:t>This is the primer to read before anything else — what Universal Asset Insights (UAI) is, the problem it solves, and how to pitch and position it. It intentionally does not cover the Luminary Systems demo environment or individual integration mechanics; see the Luminary Systems Fleet Environment Summary and the per-integration SE one-pagers for that detail.</w:t>
      </w:r>
      <w:r>
        <w:br w:type="page"/>
      </w:r>
    </w:p>
    <w:p w14:paraId="19D8EC70" w14:textId="77777777" w:rsidR="007206C9" w:rsidRDefault="00000000">
      <w:pPr>
        <w:pStyle w:val="Heading1"/>
      </w:pPr>
      <w:r>
        <w:lastRenderedPageBreak/>
        <w:t>1. Executive Summary</w:t>
      </w:r>
    </w:p>
    <w:p w14:paraId="31F344FA" w14:textId="77777777" w:rsidR="007206C9" w:rsidRDefault="00000000">
      <w:r>
        <w:t>Universal Asset Insights is Infoblox's SaaS platform for hybrid asset visibility — the authoritative foundation for hybrid visibility and AI readiness. It's built on three pillars — Discovery, Inventory, and Insights — rooted in Infoblox's authoritative DNS and DHCP intelligence and extended with 40+ third-party API integrations. It continuously discovers assets across cloud, on-premises, IoT/OT, and unmanaged environments, correlates and deduplicates them into a single validated inventory, and turns that inventory into operational insight for NetOps, SecOps, CloudOps, and IT teams.</w:t>
      </w:r>
    </w:p>
    <w:p w14:paraId="48646E3A" w14:textId="77777777" w:rsidR="00622E55" w:rsidRDefault="00622E55"/>
    <w:p w14:paraId="5CA9FED0" w14:textId="77777777" w:rsidR="007206C9" w:rsidRDefault="00000000">
      <w:r>
        <w:t>Infoblox built it because trusted infrastructure data has quietly become a prerequisite, not a nice-to-have. CMDBs drift from reality, endpoint tools only see what they're installed on, cloud inventories stop at the cloud boundary, and every team ends up trusting a different, partial picture of the same environment.</w:t>
      </w:r>
    </w:p>
    <w:p w14:paraId="359A3945" w14:textId="77777777" w:rsidR="00622E55" w:rsidRDefault="00622E55"/>
    <w:p w14:paraId="00A16328" w14:textId="77777777" w:rsidR="007206C9" w:rsidRDefault="00000000">
      <w:r>
        <w:t>Why now: AI and agentic workflows are only as good as the data they're grounded in, and most organizations know their data isn't ready — only 44% are very confident their network data quality can support AI-driven operations. Infoblox is actively investing here: new capabilities — including the ServiceNow Graph Connector (bidirectional CMDB synchronization, GA August 2026), expanded 40+ third-party API integrations including OCI, and custom dashboards with natural-language query — will be generally available on a rolling basis beginning in July 2026, with additional enhancements through late August 2026. The seller talk track for this moment: “If your CMDB isn't trusted, your AI won't be either. UAI fixes both.”</w:t>
      </w:r>
    </w:p>
    <w:p w14:paraId="4A65B718" w14:textId="77777777" w:rsidR="007206C9" w:rsidRDefault="00000000">
      <w:pPr>
        <w:pStyle w:val="Heading1"/>
      </w:pPr>
      <w:r>
        <w:t>2. The Problem</w:t>
      </w:r>
    </w:p>
    <w:p w14:paraId="3B2DEB16" w14:textId="77777777" w:rsidR="007206C9" w:rsidRDefault="00000000">
      <w:r>
        <w:t>Fragmentation isn't the problem — it's what fragmentation produces, across every team. Less than 1% of companies have more than 95% visibility into all their assets, and 69% have experienced a cyber-attack that originated from an unknown, unmanaged, or poorly managed asset. That gap shows up as three distinct, compounding problems:</w:t>
      </w:r>
    </w:p>
    <w:p w14:paraId="2681472A" w14:textId="77777777" w:rsidR="00F42DF3" w:rsidRDefault="00F42DF3"/>
    <w:p w14:paraId="6BA0885A" w14:textId="77777777" w:rsidR="007206C9" w:rsidRDefault="00000000">
      <w:pPr>
        <w:pStyle w:val="ListParagraph"/>
        <w:numPr>
          <w:ilvl w:val="0"/>
          <w:numId w:val="2"/>
        </w:numPr>
      </w:pPr>
      <w:r>
        <w:rPr>
          <w:b/>
        </w:rPr>
        <w:lastRenderedPageBreak/>
        <w:t xml:space="preserve">The Visibility Gap — </w:t>
      </w:r>
      <w:r>
        <w:t>Unknown and unmanaged assets — IoT, OT, rogue devices, shadow cloud — never make it onto any list. You find out they exist when they surface in an incident, an audit, or a breach.</w:t>
      </w:r>
    </w:p>
    <w:p w14:paraId="089BCAFA" w14:textId="77777777" w:rsidR="007206C9" w:rsidRDefault="00000000">
      <w:pPr>
        <w:pStyle w:val="ListParagraph"/>
        <w:numPr>
          <w:ilvl w:val="0"/>
          <w:numId w:val="2"/>
        </w:numPr>
      </w:pPr>
      <w:r>
        <w:rPr>
          <w:b/>
        </w:rPr>
        <w:t xml:space="preserve">The Truth Gap — </w:t>
      </w:r>
      <w:r>
        <w:t>CMDB drifts, IP conflicts cause outages, and every tool reports a different version of the same asset. Manual reconciliation eats 16+ hours a month — and AI initiatives train on data that's already wrong.</w:t>
      </w:r>
    </w:p>
    <w:p w14:paraId="5BC68A0C" w14:textId="77777777" w:rsidR="007206C9" w:rsidRDefault="00000000">
      <w:pPr>
        <w:pStyle w:val="ListParagraph"/>
        <w:numPr>
          <w:ilvl w:val="0"/>
          <w:numId w:val="2"/>
        </w:numPr>
      </w:pPr>
      <w:r>
        <w:rPr>
          <w:b/>
        </w:rPr>
        <w:t xml:space="preserve">The Action Gap — </w:t>
      </w:r>
      <w:r>
        <w:t>You can already see the risk — dangling DNS, zombie assets, known exposure — but nothing closes it. CAASM and CTEM programs stall, and AI trains on the gaps.</w:t>
      </w:r>
    </w:p>
    <w:p w14:paraId="69333D04" w14:textId="77777777" w:rsidR="00F42DF3" w:rsidRDefault="00F42DF3" w:rsidP="00F42DF3">
      <w:pPr>
        <w:pStyle w:val="ListParagraph"/>
        <w:ind w:left="432"/>
      </w:pPr>
    </w:p>
    <w:p w14:paraId="6AAAD529" w14:textId="77777777" w:rsidR="007206C9" w:rsidRDefault="00000000">
      <w:r>
        <w:t>The CMDB is usually where this pain concentrates. Discovery tools run too infrequently, missing or duplicate assets pile up from fragmented sources, and an estimated 30–40% of enterprise IT spend sits in shadow IT the CMDB can't see. As one customer put it: “CMDB failure is rarely a ServiceNow problem — it's a data foundation problem.” And the stakes are rising: 95% of security incidents involve untracked assets, and in an AI-driven world, orphaned CIs, conflicting CIs, and an unmaintained service graph aren't just data-quality issues — they're AI failures waiting to happen.</w:t>
      </w:r>
    </w:p>
    <w:p w14:paraId="36C067D4" w14:textId="77777777" w:rsidR="007206C9" w:rsidRDefault="00000000">
      <w:pPr>
        <w:pStyle w:val="Heading1"/>
      </w:pPr>
      <w:r>
        <w:t>3. The UAI Story: Discovery → Inventory → Insights</w:t>
      </w:r>
    </w:p>
    <w:p w14:paraId="0E5BF301" w14:textId="77777777" w:rsidR="007206C9" w:rsidRDefault="00000000">
      <w:r>
        <w:t>This is the spine of every UAI conversation. Three layers, one outcome: complete visibility.</w:t>
      </w:r>
    </w:p>
    <w:p w14:paraId="78862FAC" w14:textId="77777777" w:rsidR="007206C9" w:rsidRDefault="00000000">
      <w:pPr>
        <w:jc w:val="center"/>
      </w:pPr>
      <w:r>
        <w:rPr>
          <w:noProof/>
        </w:rPr>
        <w:drawing>
          <wp:inline distT="0" distB="0" distL="0" distR="0" wp14:anchorId="7893E12F" wp14:editId="5C32AF19">
            <wp:extent cx="5943600" cy="2124400"/>
            <wp:effectExtent l="0" t="0" r="0" b="0"/>
            <wp:docPr id="100" name="DiscoveryInventory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iscoveryInventoryInsights"/>
                    <pic:cNvPicPr/>
                  </pic:nvPicPr>
                  <pic:blipFill>
                    <a:blip r:embed="rId11"/>
                    <a:stretch>
                      <a:fillRect/>
                    </a:stretch>
                  </pic:blipFill>
                  <pic:spPr>
                    <a:xfrm>
                      <a:off x="0" y="0"/>
                      <a:ext cx="5943600" cy="2124400"/>
                    </a:xfrm>
                    <a:prstGeom prst="rect">
                      <a:avLst/>
                    </a:prstGeom>
                  </pic:spPr>
                </pic:pic>
              </a:graphicData>
            </a:graphic>
          </wp:inline>
        </w:drawing>
      </w:r>
    </w:p>
    <w:p w14:paraId="4EDFD02C" w14:textId="77777777" w:rsidR="007206C9" w:rsidRDefault="00000000">
      <w:pPr>
        <w:pStyle w:val="ListParagraph"/>
        <w:numPr>
          <w:ilvl w:val="0"/>
          <w:numId w:val="2"/>
        </w:numPr>
      </w:pPr>
      <w:r>
        <w:rPr>
          <w:b/>
        </w:rPr>
        <w:t xml:space="preserve">Discovery: Find every asset. </w:t>
      </w:r>
      <w:r>
        <w:t xml:space="preserve">Built on the DNS and DHCP protocols every networked asset must use. UAI tracks assets the instant they touch the network — authoritatively, with no agent and </w:t>
      </w:r>
      <w:r>
        <w:lastRenderedPageBreak/>
        <w:t>no scan — and extends that with 40+ third-party API integrations across cloud, network, security, endpoint, and IoT/OT platforms.</w:t>
      </w:r>
    </w:p>
    <w:p w14:paraId="7B41F708" w14:textId="77777777" w:rsidR="007206C9" w:rsidRDefault="00000000">
      <w:pPr>
        <w:pStyle w:val="ListParagraph"/>
        <w:numPr>
          <w:ilvl w:val="0"/>
          <w:numId w:val="2"/>
        </w:numPr>
      </w:pPr>
      <w:r>
        <w:rPr>
          <w:b/>
        </w:rPr>
        <w:t xml:space="preserve">Inventory: Know what each asset is. </w:t>
      </w:r>
      <w:r>
        <w:t>Discovery finds the asset; Inventory identifies it. UAI normalizes, deduplicates, and correlates every source into a single asset record — owner, location, software, posture, compliance state.</w:t>
      </w:r>
    </w:p>
    <w:p w14:paraId="2CAEDFF3" w14:textId="77777777" w:rsidR="007206C9" w:rsidRDefault="00000000">
      <w:pPr>
        <w:pStyle w:val="ListParagraph"/>
        <w:numPr>
          <w:ilvl w:val="0"/>
          <w:numId w:val="2"/>
        </w:numPr>
      </w:pPr>
      <w:r>
        <w:rPr>
          <w:b/>
        </w:rPr>
        <w:t xml:space="preserve">Insights: Drive operational outcomes. </w:t>
      </w:r>
      <w:r>
        <w:t>UAI turns the record into action across network, security, and IT — retiring zombie assets, closing dangling DNS, and delivering the clean, complete data foundation that AI and automation depend on.</w:t>
      </w:r>
    </w:p>
    <w:p w14:paraId="4BD23249" w14:textId="77777777" w:rsidR="007206C9" w:rsidRDefault="00000000">
      <w:r>
        <w:rPr>
          <w:i/>
        </w:rPr>
        <w:t>The differentiator worth repeating to any technically skeptical audience: most asset tools aggregate what other systems already report. UAI starts inside the network itself, at the DNS/DHCP layer, and extends outward from there — a position no aggregation-only tool can replicate.</w:t>
      </w:r>
    </w:p>
    <w:p w14:paraId="59DFFF86" w14:textId="77777777" w:rsidR="007206C9" w:rsidRDefault="00000000">
      <w:pPr>
        <w:pStyle w:val="Heading1"/>
      </w:pPr>
      <w:r>
        <w:t>4. Who Cares &amp; What They Get</w:t>
      </w:r>
    </w:p>
    <w:p w14:paraId="015A8BD4" w14:textId="77777777" w:rsidR="007206C9" w:rsidRDefault="00000000">
      <w:r>
        <w:t>UAI's Insights layer is deliberately role-specific — the same unified inventory, viewed differently depending on who's asking.</w:t>
      </w:r>
    </w:p>
    <w:tbl>
      <w:tblPr>
        <w:tblStyle w:val="TableGrid"/>
        <w:tblW w:w="9400" w:type="dxa"/>
        <w:tblLayout w:type="fixed"/>
        <w:tblLook w:val="04A0" w:firstRow="1" w:lastRow="0" w:firstColumn="1" w:lastColumn="0" w:noHBand="0" w:noVBand="1"/>
      </w:tblPr>
      <w:tblGrid>
        <w:gridCol w:w="2000"/>
        <w:gridCol w:w="3600"/>
        <w:gridCol w:w="3800"/>
      </w:tblGrid>
      <w:tr w:rsidR="007206C9" w14:paraId="20EAEB63" w14:textId="77777777">
        <w:tc>
          <w:tcPr>
            <w:tcW w:w="2000" w:type="dxa"/>
            <w:shd w:val="clear" w:color="auto" w:fill="D9D9D9"/>
          </w:tcPr>
          <w:p w14:paraId="09B2F6D2" w14:textId="77777777" w:rsidR="007206C9" w:rsidRDefault="00000000">
            <w:r>
              <w:rPr>
                <w:b/>
              </w:rPr>
              <w:t>Persona</w:t>
            </w:r>
          </w:p>
        </w:tc>
        <w:tc>
          <w:tcPr>
            <w:tcW w:w="3600" w:type="dxa"/>
            <w:shd w:val="clear" w:color="auto" w:fill="D9D9D9"/>
          </w:tcPr>
          <w:p w14:paraId="31B38F9D" w14:textId="77777777" w:rsidR="007206C9" w:rsidRDefault="00000000">
            <w:r>
              <w:rPr>
                <w:b/>
              </w:rPr>
              <w:t>What They Care About</w:t>
            </w:r>
          </w:p>
        </w:tc>
        <w:tc>
          <w:tcPr>
            <w:tcW w:w="3800" w:type="dxa"/>
            <w:shd w:val="clear" w:color="auto" w:fill="D9D9D9"/>
          </w:tcPr>
          <w:p w14:paraId="5099374A" w14:textId="77777777" w:rsidR="007206C9" w:rsidRDefault="00000000">
            <w:r>
              <w:rPr>
                <w:b/>
              </w:rPr>
              <w:t>What UAI Delivers</w:t>
            </w:r>
          </w:p>
        </w:tc>
      </w:tr>
      <w:tr w:rsidR="007206C9" w14:paraId="546B6E8B" w14:textId="77777777">
        <w:tc>
          <w:tcPr>
            <w:tcW w:w="2000" w:type="dxa"/>
          </w:tcPr>
          <w:p w14:paraId="6F54FA7F" w14:textId="77777777" w:rsidR="007206C9" w:rsidRDefault="00000000">
            <w:r>
              <w:t>NetOps</w:t>
            </w:r>
          </w:p>
        </w:tc>
        <w:tc>
          <w:tcPr>
            <w:tcW w:w="3600" w:type="dxa"/>
          </w:tcPr>
          <w:p w14:paraId="2A1AC98F" w14:textId="77777777" w:rsidR="007206C9" w:rsidRDefault="00000000">
            <w:r>
              <w:t>IP conflicts, network automation reliability, DNS hygiene</w:t>
            </w:r>
          </w:p>
        </w:tc>
        <w:tc>
          <w:tcPr>
            <w:tcW w:w="3800" w:type="dxa"/>
          </w:tcPr>
          <w:p w14:paraId="60B32A52" w14:textId="77777777" w:rsidR="007206C9" w:rsidRDefault="00000000">
            <w:r>
              <w:t>Zombie-asset detection, IPAM accuracy, reliable automation source of truth</w:t>
            </w:r>
          </w:p>
        </w:tc>
      </w:tr>
      <w:tr w:rsidR="007206C9" w14:paraId="734A2B0C" w14:textId="77777777">
        <w:tc>
          <w:tcPr>
            <w:tcW w:w="2000" w:type="dxa"/>
          </w:tcPr>
          <w:p w14:paraId="387CB3C5" w14:textId="77777777" w:rsidR="007206C9" w:rsidRDefault="00000000">
            <w:r>
              <w:t>SecOps</w:t>
            </w:r>
          </w:p>
        </w:tc>
        <w:tc>
          <w:tcPr>
            <w:tcW w:w="3600" w:type="dxa"/>
          </w:tcPr>
          <w:p w14:paraId="23096E46" w14:textId="77777777" w:rsidR="007206C9" w:rsidRDefault="00000000">
            <w:r>
              <w:t>Blind spots, threat context, incident response speed</w:t>
            </w:r>
          </w:p>
        </w:tc>
        <w:tc>
          <w:tcPr>
            <w:tcW w:w="3800" w:type="dxa"/>
          </w:tcPr>
          <w:p w14:paraId="3BD847E0" w14:textId="77777777" w:rsidR="007206C9" w:rsidRDefault="00000000">
            <w:r>
              <w:t>Dangling-DNS detection, DNS threat intelligence enriching every asset, faster MTTR</w:t>
            </w:r>
          </w:p>
        </w:tc>
      </w:tr>
      <w:tr w:rsidR="007206C9" w14:paraId="38C6A275" w14:textId="77777777">
        <w:tc>
          <w:tcPr>
            <w:tcW w:w="2000" w:type="dxa"/>
          </w:tcPr>
          <w:p w14:paraId="7F6260EB" w14:textId="77777777" w:rsidR="007206C9" w:rsidRDefault="00000000">
            <w:r>
              <w:t>ITOps / CloudOps</w:t>
            </w:r>
          </w:p>
        </w:tc>
        <w:tc>
          <w:tcPr>
            <w:tcW w:w="3600" w:type="dxa"/>
          </w:tcPr>
          <w:p w14:paraId="7C2D176C" w14:textId="77777777" w:rsidR="007206C9" w:rsidRDefault="00000000">
            <w:r>
              <w:t>Multi-cloud visibility, CMDB gaps, compliance, rogue devices</w:t>
            </w:r>
          </w:p>
        </w:tc>
        <w:tc>
          <w:tcPr>
            <w:tcW w:w="3800" w:type="dxa"/>
          </w:tcPr>
          <w:p w14:paraId="68E87468" w14:textId="77777777" w:rsidR="007206C9" w:rsidRDefault="00000000">
            <w:r>
              <w:t>Continuous CMDB validation, hybrid-cloud asset inventory, audit readiness</w:t>
            </w:r>
          </w:p>
        </w:tc>
      </w:tr>
      <w:tr w:rsidR="007206C9" w14:paraId="2B9E5F92" w14:textId="77777777">
        <w:tc>
          <w:tcPr>
            <w:tcW w:w="2000" w:type="dxa"/>
          </w:tcPr>
          <w:p w14:paraId="375332D4" w14:textId="77777777" w:rsidR="007206C9" w:rsidRDefault="00000000">
            <w:r>
              <w:t>CMDB Owners</w:t>
            </w:r>
          </w:p>
        </w:tc>
        <w:tc>
          <w:tcPr>
            <w:tcW w:w="3600" w:type="dxa"/>
          </w:tcPr>
          <w:p w14:paraId="0DD1BE12" w14:textId="77777777" w:rsidR="007206C9" w:rsidRDefault="00000000">
            <w:r>
              <w:t>CMDB accuracy, reconciliation effort, audit prep</w:t>
            </w:r>
          </w:p>
        </w:tc>
        <w:tc>
          <w:tcPr>
            <w:tcW w:w="3800" w:type="dxa"/>
          </w:tcPr>
          <w:p w14:paraId="42755DDB" w14:textId="77777777" w:rsidR="007206C9" w:rsidRDefault="00000000">
            <w:r>
              <w:t>Bidirectional ServiceNow sync, automatic reconciliation of missing/duplicate CIs</w:t>
            </w:r>
          </w:p>
        </w:tc>
      </w:tr>
      <w:tr w:rsidR="007206C9" w14:paraId="1A9F5F44" w14:textId="77777777">
        <w:tc>
          <w:tcPr>
            <w:tcW w:w="2000" w:type="dxa"/>
          </w:tcPr>
          <w:p w14:paraId="75C522AD" w14:textId="77777777" w:rsidR="007206C9" w:rsidRDefault="00000000">
            <w:r>
              <w:t>Platform / AI Engineering</w:t>
            </w:r>
          </w:p>
        </w:tc>
        <w:tc>
          <w:tcPr>
            <w:tcW w:w="3600" w:type="dxa"/>
          </w:tcPr>
          <w:p w14:paraId="26D0415B" w14:textId="77777777" w:rsidR="007206C9" w:rsidRDefault="00000000">
            <w:r>
              <w:t>Trustworthy data for automation and agentic workflows</w:t>
            </w:r>
          </w:p>
        </w:tc>
        <w:tc>
          <w:tcPr>
            <w:tcW w:w="3800" w:type="dxa"/>
          </w:tcPr>
          <w:p w14:paraId="1E68194D" w14:textId="77777777" w:rsidR="007206C9" w:rsidRDefault="00000000">
            <w:r>
              <w:t>A continuously validated inventory AI agents and automation can be grounded in</w:t>
            </w:r>
          </w:p>
        </w:tc>
      </w:tr>
    </w:tbl>
    <w:p w14:paraId="6F166155" w14:textId="77777777" w:rsidR="007206C9" w:rsidRDefault="007206C9"/>
    <w:p w14:paraId="48A0EB78" w14:textId="77777777" w:rsidR="007206C9" w:rsidRDefault="00000000">
      <w:r>
        <w:rPr>
          <w:i/>
        </w:rPr>
        <w:t>Measured business impact customers report: 95% CMDB accuracy, 16 hours per month saved on manual reconciliation, and incident response accelerated to under 30 minutes.</w:t>
      </w:r>
    </w:p>
    <w:p w14:paraId="60764285" w14:textId="77777777" w:rsidR="007206C9" w:rsidRDefault="00000000">
      <w:pPr>
        <w:pStyle w:val="Heading1"/>
      </w:pPr>
      <w:r>
        <w:lastRenderedPageBreak/>
        <w:t>5. Demo Story &amp; Assets of Interest</w:t>
      </w:r>
    </w:p>
    <w:p w14:paraId="33E2BFAF" w14:textId="77777777" w:rsidR="007206C9" w:rsidRDefault="00000000">
      <w:r>
        <w:t>The demo arc mirrors the product story: start with a customer problem, show discovery happening in real time, move to the unified inventory, show correlation collapsing duplicate/fragmented records into one, then land on the insight and the business outcome it enables.</w:t>
      </w:r>
    </w:p>
    <w:p w14:paraId="7E214D66" w14:textId="77777777" w:rsidR="00F42DF3" w:rsidRDefault="00F42DF3"/>
    <w:p w14:paraId="1CE06E79" w14:textId="77777777" w:rsidR="007206C9" w:rsidRDefault="00000000">
      <w:pPr>
        <w:rPr>
          <w:b/>
        </w:rPr>
      </w:pPr>
      <w:r>
        <w:rPr>
          <w:b/>
        </w:rPr>
        <w:t>Customer Problem → Discovery → Inventory → Correlation → Insight → Business Value</w:t>
      </w:r>
    </w:p>
    <w:p w14:paraId="35F5A963" w14:textId="77777777" w:rsidR="00F42DF3" w:rsidRDefault="00F42DF3"/>
    <w:p w14:paraId="68FADFE3" w14:textId="77777777" w:rsidR="007206C9" w:rsidRDefault="00000000">
      <w:r>
        <w:t>The scenarios below are the ones that resonate most reliably in a first meeting. Full walkthroughs, device-level detail, and click-by-click talk tracks live in the per-integration SE one-pagers — this table is the index, not the script.</w:t>
      </w:r>
    </w:p>
    <w:tbl>
      <w:tblPr>
        <w:tblStyle w:val="TableGrid"/>
        <w:tblW w:w="9400" w:type="dxa"/>
        <w:tblLayout w:type="fixed"/>
        <w:tblLook w:val="04A0" w:firstRow="1" w:lastRow="0" w:firstColumn="1" w:lastColumn="0" w:noHBand="0" w:noVBand="1"/>
      </w:tblPr>
      <w:tblGrid>
        <w:gridCol w:w="3600"/>
        <w:gridCol w:w="5800"/>
      </w:tblGrid>
      <w:tr w:rsidR="007206C9" w14:paraId="36E07420" w14:textId="77777777">
        <w:tc>
          <w:tcPr>
            <w:tcW w:w="3600" w:type="dxa"/>
            <w:shd w:val="clear" w:color="auto" w:fill="D9D9D9"/>
          </w:tcPr>
          <w:p w14:paraId="7B6BEFB0" w14:textId="77777777" w:rsidR="007206C9" w:rsidRDefault="00000000">
            <w:r>
              <w:rPr>
                <w:b/>
              </w:rPr>
              <w:t>Scenario</w:t>
            </w:r>
          </w:p>
        </w:tc>
        <w:tc>
          <w:tcPr>
            <w:tcW w:w="5800" w:type="dxa"/>
            <w:shd w:val="clear" w:color="auto" w:fill="D9D9D9"/>
          </w:tcPr>
          <w:p w14:paraId="76D7262D" w14:textId="77777777" w:rsidR="007206C9" w:rsidRDefault="00000000">
            <w:r>
              <w:rPr>
                <w:b/>
              </w:rPr>
              <w:t>Why It Resonates</w:t>
            </w:r>
          </w:p>
        </w:tc>
      </w:tr>
      <w:tr w:rsidR="007206C9" w14:paraId="05AD6A26" w14:textId="77777777">
        <w:tc>
          <w:tcPr>
            <w:tcW w:w="3600" w:type="dxa"/>
          </w:tcPr>
          <w:p w14:paraId="5BD3B921" w14:textId="77777777" w:rsidR="007206C9" w:rsidRDefault="00000000">
            <w:r>
              <w:t>Windows devices missing CrowdStrike</w:t>
            </w:r>
          </w:p>
        </w:tc>
        <w:tc>
          <w:tcPr>
            <w:tcW w:w="5800" w:type="dxa"/>
          </w:tcPr>
          <w:p w14:paraId="64720818" w14:textId="77777777" w:rsidR="007206C9" w:rsidRDefault="00000000">
            <w:r>
              <w:t>Makes an EDR coverage gap visible in seconds — a question every security-conscious buyer has asked themselves</w:t>
            </w:r>
          </w:p>
        </w:tc>
      </w:tr>
      <w:tr w:rsidR="007206C9" w14:paraId="672DE291" w14:textId="77777777">
        <w:tc>
          <w:tcPr>
            <w:tcW w:w="3600" w:type="dxa"/>
          </w:tcPr>
          <w:p w14:paraId="68CDD6B8" w14:textId="77777777" w:rsidR="007206C9" w:rsidRDefault="00000000">
            <w:r>
              <w:t>Assets missing from ServiceNow</w:t>
            </w:r>
          </w:p>
        </w:tc>
        <w:tc>
          <w:tcPr>
            <w:tcW w:w="5800" w:type="dxa"/>
          </w:tcPr>
          <w:p w14:paraId="3BB34369" w14:textId="77777777" w:rsidR="007206C9" w:rsidRDefault="00000000">
            <w:r>
              <w:t>Directly demonstrates the CMDB gap every ITOps and CMDB-owner persona already knows they have</w:t>
            </w:r>
          </w:p>
        </w:tc>
      </w:tr>
      <w:tr w:rsidR="007206C9" w14:paraId="147C3057" w14:textId="77777777">
        <w:tc>
          <w:tcPr>
            <w:tcW w:w="3600" w:type="dxa"/>
          </w:tcPr>
          <w:p w14:paraId="6659C331" w14:textId="77777777" w:rsidR="007206C9" w:rsidRDefault="00000000">
            <w:r>
              <w:t>Duplicate devices across tools</w:t>
            </w:r>
          </w:p>
        </w:tc>
        <w:tc>
          <w:tcPr>
            <w:tcW w:w="5800" w:type="dxa"/>
          </w:tcPr>
          <w:p w14:paraId="1CA22BEF" w14:textId="77777777" w:rsidR="007206C9" w:rsidRDefault="00000000">
            <w:r>
              <w:t>Shows correlation and deduplication doing real work, not just claiming to</w:t>
            </w:r>
          </w:p>
        </w:tc>
      </w:tr>
      <w:tr w:rsidR="007206C9" w14:paraId="2A839776" w14:textId="77777777">
        <w:tc>
          <w:tcPr>
            <w:tcW w:w="3600" w:type="dxa"/>
          </w:tcPr>
          <w:p w14:paraId="7B573C23" w14:textId="77777777" w:rsidR="007206C9" w:rsidRDefault="00000000">
            <w:r>
              <w:t>Windows 10 / macOS EOL devices</w:t>
            </w:r>
          </w:p>
        </w:tc>
        <w:tc>
          <w:tcPr>
            <w:tcW w:w="5800" w:type="dxa"/>
          </w:tcPr>
          <w:p w14:paraId="5CAB164E" w14:textId="77777777" w:rsidR="007206C9" w:rsidRDefault="00000000">
            <w:r>
              <w:t>A concrete, board-level-relevant risk finding customers can act on immediately</w:t>
            </w:r>
          </w:p>
        </w:tc>
      </w:tr>
      <w:tr w:rsidR="007206C9" w14:paraId="6708F5D7" w14:textId="77777777">
        <w:tc>
          <w:tcPr>
            <w:tcW w:w="3600" w:type="dxa"/>
          </w:tcPr>
          <w:p w14:paraId="15565DA4" w14:textId="77777777" w:rsidR="007206C9" w:rsidRDefault="00000000">
            <w:r>
              <w:t>IoT / unmanaged devices</w:t>
            </w:r>
          </w:p>
        </w:tc>
        <w:tc>
          <w:tcPr>
            <w:tcW w:w="5800" w:type="dxa"/>
          </w:tcPr>
          <w:p w14:paraId="2D5312E7" w14:textId="77777777" w:rsidR="007206C9" w:rsidRDefault="00000000">
            <w:r>
              <w:t>Speaks directly to the shadow-IT and unmanaged-asset fear every persona shares</w:t>
            </w:r>
          </w:p>
        </w:tc>
      </w:tr>
    </w:tbl>
    <w:p w14:paraId="5DCC35B6" w14:textId="77777777" w:rsidR="007206C9" w:rsidRDefault="007206C9"/>
    <w:p w14:paraId="7E356393" w14:textId="0C3025FF" w:rsidR="007206C9" w:rsidRPr="000618AA" w:rsidRDefault="00000000">
      <w:pPr>
        <w:rPr>
          <w:iCs/>
        </w:rPr>
      </w:pPr>
      <w:r w:rsidRPr="000618AA">
        <w:rPr>
          <w:iCs/>
        </w:rPr>
        <w:t xml:space="preserve">See: per-integration </w:t>
      </w:r>
      <w:r w:rsidR="000618AA" w:rsidRPr="000618AA">
        <w:rPr>
          <w:iCs/>
        </w:rPr>
        <w:t xml:space="preserve">storyline for </w:t>
      </w:r>
      <w:r w:rsidRPr="000618AA">
        <w:rPr>
          <w:iCs/>
        </w:rPr>
        <w:t>SE</w:t>
      </w:r>
      <w:r w:rsidR="000618AA" w:rsidRPr="000618AA">
        <w:rPr>
          <w:iCs/>
        </w:rPr>
        <w:t>s</w:t>
      </w:r>
      <w:r w:rsidRPr="000618AA">
        <w:rPr>
          <w:iCs/>
        </w:rPr>
        <w:t xml:space="preserve"> one-pagers</w:t>
      </w:r>
      <w:r w:rsidR="000618AA">
        <w:rPr>
          <w:iCs/>
        </w:rPr>
        <w:t xml:space="preserve"> </w:t>
      </w:r>
      <w:r w:rsidRPr="000618AA">
        <w:rPr>
          <w:iCs/>
        </w:rPr>
        <w:t>for full talk tracks on these scenarios.</w:t>
      </w:r>
    </w:p>
    <w:p w14:paraId="17CF54ED" w14:textId="77777777" w:rsidR="000618AA" w:rsidRDefault="000618AA">
      <w:pPr>
        <w:rPr>
          <w:i/>
        </w:rPr>
      </w:pPr>
    </w:p>
    <w:p w14:paraId="12980856" w14:textId="77777777" w:rsidR="000618AA" w:rsidRPr="000618AA" w:rsidRDefault="000618AA">
      <w:pPr>
        <w:rPr>
          <w:iCs/>
        </w:rPr>
      </w:pPr>
    </w:p>
    <w:p w14:paraId="10291D12" w14:textId="77777777" w:rsidR="000618AA" w:rsidRDefault="000618AA">
      <w:pPr>
        <w:rPr>
          <w:i/>
        </w:rPr>
      </w:pPr>
    </w:p>
    <w:p w14:paraId="656C0A48" w14:textId="77777777" w:rsidR="000618AA" w:rsidRDefault="000618AA"/>
    <w:p w14:paraId="439B1702" w14:textId="77777777" w:rsidR="000618AA" w:rsidRDefault="000618AA"/>
    <w:p w14:paraId="613A0426" w14:textId="77777777" w:rsidR="007206C9" w:rsidRDefault="00000000">
      <w:pPr>
        <w:pStyle w:val="Heading1"/>
      </w:pPr>
      <w:r>
        <w:lastRenderedPageBreak/>
        <w:t>6. Competitive Positioning</w:t>
      </w:r>
    </w:p>
    <w:p w14:paraId="09BE087D" w14:textId="77777777" w:rsidR="007206C9" w:rsidRDefault="00000000">
      <w:r>
        <w:t>Position on visibility, unified inventory, and correlation — not as a security product competing with security tools.</w:t>
      </w:r>
    </w:p>
    <w:tbl>
      <w:tblPr>
        <w:tblStyle w:val="TableGrid"/>
        <w:tblW w:w="9400" w:type="dxa"/>
        <w:tblLayout w:type="fixed"/>
        <w:tblLook w:val="04A0" w:firstRow="1" w:lastRow="0" w:firstColumn="1" w:lastColumn="0" w:noHBand="0" w:noVBand="1"/>
      </w:tblPr>
      <w:tblGrid>
        <w:gridCol w:w="3200"/>
        <w:gridCol w:w="6200"/>
      </w:tblGrid>
      <w:tr w:rsidR="007206C9" w14:paraId="6CC819BF" w14:textId="77777777">
        <w:tc>
          <w:tcPr>
            <w:tcW w:w="3200" w:type="dxa"/>
            <w:shd w:val="clear" w:color="auto" w:fill="D9D9D9"/>
          </w:tcPr>
          <w:p w14:paraId="5A585F5A" w14:textId="77777777" w:rsidR="007206C9" w:rsidRDefault="00000000">
            <w:r>
              <w:rPr>
                <w:b/>
              </w:rPr>
              <w:t>Approach</w:t>
            </w:r>
          </w:p>
        </w:tc>
        <w:tc>
          <w:tcPr>
            <w:tcW w:w="6200" w:type="dxa"/>
            <w:shd w:val="clear" w:color="auto" w:fill="D9D9D9"/>
          </w:tcPr>
          <w:p w14:paraId="0B4EE587" w14:textId="77777777" w:rsidR="007206C9" w:rsidRDefault="00000000">
            <w:r>
              <w:rPr>
                <w:b/>
              </w:rPr>
              <w:t>Why UAI Is Different</w:t>
            </w:r>
          </w:p>
        </w:tc>
      </w:tr>
      <w:tr w:rsidR="007206C9" w14:paraId="07638176" w14:textId="77777777">
        <w:tc>
          <w:tcPr>
            <w:tcW w:w="3200" w:type="dxa"/>
          </w:tcPr>
          <w:p w14:paraId="5390ACF2" w14:textId="77777777" w:rsidR="007206C9" w:rsidRDefault="00000000">
            <w:r>
              <w:t>CMDB-only (e.g., ServiceNow Discovery)</w:t>
            </w:r>
          </w:p>
        </w:tc>
        <w:tc>
          <w:tcPr>
            <w:tcW w:w="6200" w:type="dxa"/>
          </w:tcPr>
          <w:p w14:paraId="7047A3CA" w14:textId="5F34BE89" w:rsidR="007206C9" w:rsidRDefault="00000000">
            <w:r>
              <w:t xml:space="preserve">A </w:t>
            </w:r>
            <w:r w:rsidR="00F42DF3">
              <w:t>CMDB record</w:t>
            </w:r>
            <w:r>
              <w:t xml:space="preserve"> what's reported to it; it doesn't discover on its own. UAI feeds it continuously validated, authoritative data instead of periodic, manual reconciliation.</w:t>
            </w:r>
          </w:p>
        </w:tc>
      </w:tr>
      <w:tr w:rsidR="007206C9" w14:paraId="427637B6" w14:textId="77777777">
        <w:tc>
          <w:tcPr>
            <w:tcW w:w="3200" w:type="dxa"/>
          </w:tcPr>
          <w:p w14:paraId="0F6A2FC3" w14:textId="77777777" w:rsidR="007206C9" w:rsidRDefault="00000000">
            <w:r>
              <w:t>Endpoint-only discovery</w:t>
            </w:r>
          </w:p>
        </w:tc>
        <w:tc>
          <w:tcPr>
            <w:tcW w:w="6200" w:type="dxa"/>
          </w:tcPr>
          <w:p w14:paraId="77B6FF8A" w14:textId="77777777" w:rsidR="007206C9" w:rsidRDefault="00000000">
            <w:r>
              <w:t>Only sees what has an agent installed. UAI's DNS/DHCP-native discovery sees every device that touches the network, agent or not.</w:t>
            </w:r>
          </w:p>
        </w:tc>
      </w:tr>
      <w:tr w:rsidR="007206C9" w14:paraId="2A3D46D3" w14:textId="77777777">
        <w:tc>
          <w:tcPr>
            <w:tcW w:w="3200" w:type="dxa"/>
          </w:tcPr>
          <w:p w14:paraId="4C440E38" w14:textId="77777777" w:rsidR="007206C9" w:rsidRDefault="00000000">
            <w:r>
              <w:t>Cloud-only discovery</w:t>
            </w:r>
          </w:p>
        </w:tc>
        <w:tc>
          <w:tcPr>
            <w:tcW w:w="6200" w:type="dxa"/>
          </w:tcPr>
          <w:p w14:paraId="69E250A9" w14:textId="77777777" w:rsidR="007206C9" w:rsidRDefault="00000000">
            <w:r>
              <w:t>Stops at the cloud boundary. UAI unifies on-prem, cloud, IoT/OT, and unmanaged assets in one inventory.</w:t>
            </w:r>
          </w:p>
        </w:tc>
      </w:tr>
      <w:tr w:rsidR="007206C9" w14:paraId="6FD267B9" w14:textId="77777777">
        <w:tc>
          <w:tcPr>
            <w:tcW w:w="3200" w:type="dxa"/>
          </w:tcPr>
          <w:p w14:paraId="0BD2E7EB" w14:textId="77777777" w:rsidR="007206C9" w:rsidRDefault="00000000">
            <w:r>
              <w:t>Traditional network discovery (periodic scanners)</w:t>
            </w:r>
          </w:p>
        </w:tc>
        <w:tc>
          <w:tcPr>
            <w:tcW w:w="6200" w:type="dxa"/>
          </w:tcPr>
          <w:p w14:paraId="3517DEFD" w14:textId="77777777" w:rsidR="007206C9" w:rsidRDefault="00000000">
            <w:r>
              <w:t>Scanners typically provide only 60–70% coverage through periodic sweeps. UAI monitors DNS/DHCP continuously, capturing every connection in real time.</w:t>
            </w:r>
          </w:p>
        </w:tc>
      </w:tr>
      <w:tr w:rsidR="007206C9" w14:paraId="381DB6D2" w14:textId="77777777">
        <w:tc>
          <w:tcPr>
            <w:tcW w:w="3200" w:type="dxa"/>
          </w:tcPr>
          <w:p w14:paraId="75E21FE9" w14:textId="77777777" w:rsidR="007206C9" w:rsidRDefault="00000000">
            <w:r>
              <w:t>Observability platforms (e.g., Datadog)</w:t>
            </w:r>
          </w:p>
        </w:tc>
        <w:tc>
          <w:tcPr>
            <w:tcW w:w="6200" w:type="dxa"/>
          </w:tcPr>
          <w:p w14:paraId="7EEF29A6" w14:textId="77777777" w:rsidR="007206C9" w:rsidRDefault="00000000">
            <w:r>
              <w:t>Observability tools monitor what's already instrumented and known. UAI's job starts earlier — finding what exists at all, instrumented or not — and feeds trustworthy asset context into observability and security tooling rather than replacing it.</w:t>
            </w:r>
          </w:p>
        </w:tc>
      </w:tr>
    </w:tbl>
    <w:p w14:paraId="66FB7752" w14:textId="77777777" w:rsidR="007206C9" w:rsidRDefault="007206C9"/>
    <w:p w14:paraId="581D673E" w14:textId="77777777" w:rsidR="007206C9" w:rsidRDefault="00000000">
      <w:r>
        <w:rPr>
          <w:i/>
        </w:rPr>
        <w:t>The core architectural claim to lead with: most asset tools aggregate what other systems already see. UAI sits directly on the network infrastructure — at the DNS/DHCP layer — to discover assets as they connect, a native position aggregation-based tools cannot match.</w:t>
      </w:r>
    </w:p>
    <w:p w14:paraId="7B0EA949" w14:textId="77777777" w:rsidR="007206C9" w:rsidRDefault="00000000">
      <w:pPr>
        <w:pStyle w:val="Heading1"/>
      </w:pPr>
      <w:r>
        <w:t>7. Key Messages &amp; FAQ</w:t>
      </w:r>
    </w:p>
    <w:p w14:paraId="7C8147B5" w14:textId="77777777" w:rsidR="007206C9" w:rsidRDefault="00000000">
      <w:pPr>
        <w:pStyle w:val="Heading2"/>
      </w:pPr>
      <w:r>
        <w:t>Key Sales Messages</w:t>
      </w:r>
    </w:p>
    <w:p w14:paraId="06A8E411" w14:textId="77777777" w:rsidR="007206C9" w:rsidRDefault="00000000">
      <w:pPr>
        <w:pStyle w:val="ListParagraph"/>
        <w:numPr>
          <w:ilvl w:val="0"/>
          <w:numId w:val="2"/>
        </w:numPr>
      </w:pPr>
      <w:r>
        <w:t>If your CMDB isn't trusted, your AI won't be either. UAI fixes both.</w:t>
      </w:r>
    </w:p>
    <w:p w14:paraId="184216A7" w14:textId="77777777" w:rsidR="007206C9" w:rsidRDefault="00000000">
      <w:pPr>
        <w:pStyle w:val="ListParagraph"/>
        <w:numPr>
          <w:ilvl w:val="0"/>
          <w:numId w:val="2"/>
        </w:numPr>
      </w:pPr>
      <w:r>
        <w:t>UAI isn't another scanner — it's Discovery + Inventory + Insights, fixing the source of truth.</w:t>
      </w:r>
    </w:p>
    <w:p w14:paraId="3A6BBA2B" w14:textId="77777777" w:rsidR="007206C9" w:rsidRDefault="00000000">
      <w:pPr>
        <w:pStyle w:val="ListParagraph"/>
        <w:numPr>
          <w:ilvl w:val="0"/>
          <w:numId w:val="2"/>
        </w:numPr>
      </w:pPr>
      <w:r>
        <w:t>Less than 1% of companies have more than 95% visibility into all their assets.</w:t>
      </w:r>
    </w:p>
    <w:p w14:paraId="51D1D19F" w14:textId="77777777" w:rsidR="007206C9" w:rsidRDefault="00000000">
      <w:pPr>
        <w:pStyle w:val="ListParagraph"/>
        <w:numPr>
          <w:ilvl w:val="0"/>
          <w:numId w:val="2"/>
        </w:numPr>
      </w:pPr>
      <w:r>
        <w:t>69% of organizations have experienced at least one cyber-attack that started from an unknown, unmanaged, or poorly managed asset — a direct visibility failure.</w:t>
      </w:r>
    </w:p>
    <w:p w14:paraId="79639DF8" w14:textId="77777777" w:rsidR="007206C9" w:rsidRDefault="00000000">
      <w:pPr>
        <w:pStyle w:val="ListParagraph"/>
        <w:numPr>
          <w:ilvl w:val="0"/>
          <w:numId w:val="2"/>
        </w:numPr>
      </w:pPr>
      <w:r>
        <w:lastRenderedPageBreak/>
        <w:t>Only 44% of organizations trust their network data enough to support AI-driven operations.</w:t>
      </w:r>
    </w:p>
    <w:p w14:paraId="7DB031CB" w14:textId="77777777" w:rsidR="007206C9" w:rsidRDefault="00000000">
      <w:pPr>
        <w:pStyle w:val="ListParagraph"/>
        <w:numPr>
          <w:ilvl w:val="0"/>
          <w:numId w:val="2"/>
        </w:numPr>
      </w:pPr>
      <w:r>
        <w:t>CMDB failure is rarely a ServiceNow problem — it's a data foundation problem.</w:t>
      </w:r>
    </w:p>
    <w:p w14:paraId="6B733EF1" w14:textId="77777777" w:rsidR="007206C9" w:rsidRDefault="00000000">
      <w:pPr>
        <w:pStyle w:val="ListParagraph"/>
        <w:numPr>
          <w:ilvl w:val="0"/>
          <w:numId w:val="2"/>
        </w:numPr>
      </w:pPr>
      <w:r>
        <w:t>UAI is built on DNS and DHCP — the two protocols every networked asset must use.</w:t>
      </w:r>
    </w:p>
    <w:p w14:paraId="3F4289AE" w14:textId="77777777" w:rsidR="007206C9" w:rsidRDefault="00000000">
      <w:pPr>
        <w:pStyle w:val="ListParagraph"/>
        <w:numPr>
          <w:ilvl w:val="0"/>
          <w:numId w:val="2"/>
        </w:numPr>
      </w:pPr>
      <w:r>
        <w:t>No agents, no scans: UAI sees devices the instant they touch the network.</w:t>
      </w:r>
    </w:p>
    <w:p w14:paraId="76A8A1DD" w14:textId="77777777" w:rsidR="007206C9" w:rsidRDefault="00000000">
      <w:pPr>
        <w:pStyle w:val="ListParagraph"/>
        <w:numPr>
          <w:ilvl w:val="0"/>
          <w:numId w:val="2"/>
        </w:numPr>
      </w:pPr>
      <w:r>
        <w:t>40+ third-party integrations extend native discovery across cloud, security, endpoint, and IoT/OT.</w:t>
      </w:r>
    </w:p>
    <w:p w14:paraId="3E568A54" w14:textId="77777777" w:rsidR="007206C9" w:rsidRDefault="00000000">
      <w:pPr>
        <w:pStyle w:val="ListParagraph"/>
        <w:numPr>
          <w:ilvl w:val="0"/>
          <w:numId w:val="2"/>
        </w:numPr>
      </w:pPr>
      <w:r>
        <w:t>The ServiceNow Graph Connector makes CMDB reconciliation bidirectional and continuous, not periodic.</w:t>
      </w:r>
    </w:p>
    <w:p w14:paraId="190599B3" w14:textId="77777777" w:rsidR="007206C9" w:rsidRDefault="00000000">
      <w:pPr>
        <w:pStyle w:val="ListParagraph"/>
        <w:numPr>
          <w:ilvl w:val="0"/>
          <w:numId w:val="2"/>
        </w:numPr>
      </w:pPr>
      <w:r>
        <w:t>Customers report 95% CMDB accuracy and 16 hours per month saved on manual reconciliation.</w:t>
      </w:r>
    </w:p>
    <w:p w14:paraId="06E6320F" w14:textId="77777777" w:rsidR="007206C9" w:rsidRDefault="00000000">
      <w:pPr>
        <w:pStyle w:val="ListParagraph"/>
        <w:numPr>
          <w:ilvl w:val="0"/>
          <w:numId w:val="2"/>
        </w:numPr>
      </w:pPr>
      <w:r>
        <w:t>Incident response accelerates to under 30 minutes with enriched, correlated asset context.</w:t>
      </w:r>
    </w:p>
    <w:p w14:paraId="481B2E9C" w14:textId="77777777" w:rsidR="007206C9" w:rsidRDefault="00000000">
      <w:pPr>
        <w:pStyle w:val="ListParagraph"/>
        <w:numPr>
          <w:ilvl w:val="0"/>
          <w:numId w:val="2"/>
        </w:numPr>
      </w:pPr>
      <w:r>
        <w:t>Read-only access to DNS/DHCP means zero risk to production network stability.</w:t>
      </w:r>
    </w:p>
    <w:p w14:paraId="55D7E33F" w14:textId="77777777" w:rsidR="007206C9" w:rsidRDefault="00000000">
      <w:pPr>
        <w:pStyle w:val="ListParagraph"/>
        <w:numPr>
          <w:ilvl w:val="0"/>
          <w:numId w:val="2"/>
        </w:numPr>
      </w:pPr>
      <w:r>
        <w:t>A 30-day free trial delivers instant value — in under 15 minutes with cloud credentials.</w:t>
      </w:r>
    </w:p>
    <w:p w14:paraId="5635DA27" w14:textId="77777777" w:rsidR="007206C9" w:rsidRDefault="00000000">
      <w:pPr>
        <w:pStyle w:val="Heading2"/>
      </w:pPr>
      <w:r>
        <w:t>Frequently Asked Questions</w:t>
      </w:r>
    </w:p>
    <w:p w14:paraId="6AFEE414" w14:textId="77777777" w:rsidR="007206C9" w:rsidRDefault="00000000">
      <w:r>
        <w:rPr>
          <w:b/>
        </w:rPr>
        <w:t>Why not just use ServiceNow Discovery?</w:t>
      </w:r>
    </w:p>
    <w:p w14:paraId="4F80D245" w14:textId="77777777" w:rsidR="007206C9" w:rsidRDefault="00000000">
      <w:r>
        <w:t>ServiceNow records what's reported to it; it isn't a native discovery engine. UAI discovers continuously at the network layer and feeds ServiceNow a validated, reconciled picture through the bidirectional Graph Connector, instead of relying on periodic, manual cleanup.</w:t>
      </w:r>
    </w:p>
    <w:p w14:paraId="1C0F766A" w14:textId="77777777" w:rsidR="007206C9" w:rsidRDefault="00000000">
      <w:r>
        <w:rPr>
          <w:b/>
        </w:rPr>
        <w:t>Why not an observability platform like Datadog?</w:t>
      </w:r>
    </w:p>
    <w:p w14:paraId="183E6FB7" w14:textId="77777777" w:rsidR="007206C9" w:rsidRDefault="00000000">
      <w:r>
        <w:t>Observability monitors what's already instrumented and known. UAI's job happens earlier — finding what exists at all — and can feed that context into observability tooling rather than compete with it.</w:t>
      </w:r>
    </w:p>
    <w:p w14:paraId="2E508397" w14:textId="77777777" w:rsidR="007206C9" w:rsidRDefault="00000000">
      <w:r>
        <w:rPr>
          <w:b/>
        </w:rPr>
        <w:t>Why is DNS/DHCP the foundation instead of just APIs?</w:t>
      </w:r>
    </w:p>
    <w:p w14:paraId="61D515F7" w14:textId="77777777" w:rsidR="007206C9" w:rsidRDefault="00000000">
      <w:r>
        <w:t>Every networked asset must use DNS and DHCP to connect — it's the one signal no device can avoid leaving. APIs extend breadth; DNS/DHCP is what makes discovery continuous and agentless in the first place.</w:t>
      </w:r>
    </w:p>
    <w:p w14:paraId="46B883F7" w14:textId="77777777" w:rsidR="007206C9" w:rsidRDefault="00000000">
      <w:r>
        <w:rPr>
          <w:b/>
        </w:rPr>
        <w:t>How is deduplication handled across sources?</w:t>
      </w:r>
    </w:p>
    <w:p w14:paraId="2FAB6F67" w14:textId="77777777" w:rsidR="007206C9" w:rsidRDefault="00000000">
      <w:r>
        <w:t>UAI normalizes, correlates, and deduplicates records from every connected source into a single authoritative asset record, rather than leaving each tool's version of the truth standing separately.</w:t>
      </w:r>
    </w:p>
    <w:p w14:paraId="5EDD7FA2" w14:textId="77777777" w:rsidR="007206C9" w:rsidRDefault="00000000">
      <w:r>
        <w:rPr>
          <w:b/>
        </w:rPr>
        <w:t>Why integrate multiple providers instead of picking one best-of-breed tool?</w:t>
      </w:r>
    </w:p>
    <w:p w14:paraId="7276530C" w14:textId="77777777" w:rsidR="007206C9" w:rsidRDefault="00000000">
      <w:r>
        <w:lastRenderedPageBreak/>
        <w:t>Every tool sees only its own slice — an EDR sees managed endpoints, an MDM sees enrolled devices, a CMDB sees what's been entered. Combining sources is what surfaces the gaps between them, which is the whole point.</w:t>
      </w:r>
    </w:p>
    <w:p w14:paraId="405CF476" w14:textId="77777777" w:rsidR="007206C9" w:rsidRDefault="00000000">
      <w:r>
        <w:rPr>
          <w:b/>
        </w:rPr>
        <w:t>How is data secured?</w:t>
      </w:r>
    </w:p>
    <w:p w14:paraId="491B2B82" w14:textId="77777777" w:rsidR="007206C9" w:rsidRDefault="00000000">
      <w:r>
        <w:t>Read-only access to DNS/DHCP services, TLS 1.3 encryption in transit, encryption at rest, role-based access control, multi-factor authentication, and API rate limiting/access logging. UAI is SOC 2 Type II certified and supports GDPR/CCPA, HIPAA, and PCI DSS requirements.</w:t>
      </w:r>
    </w:p>
    <w:p w14:paraId="3260EF7F" w14:textId="77777777" w:rsidR="007206C9" w:rsidRDefault="00000000">
      <w:pPr>
        <w:pStyle w:val="Heading1"/>
      </w:pPr>
      <w:r>
        <w:t>8. Pitch &amp; Demo Checklist</w:t>
      </w:r>
    </w:p>
    <w:p w14:paraId="4BD0A9BC" w14:textId="77777777" w:rsidR="007206C9" w:rsidRDefault="00000000">
      <w:pPr>
        <w:pStyle w:val="Heading2"/>
      </w:pPr>
      <w:r>
        <w:t>30-Second Pitch</w:t>
      </w:r>
    </w:p>
    <w:p w14:paraId="1F0C7FE5" w14:textId="77777777" w:rsidR="007206C9" w:rsidRDefault="00000000">
      <w:r>
        <w:rPr>
          <w:i/>
        </w:rPr>
        <w:t xml:space="preserve">“Most companies can't see all their own assets — less than 1% have better than 95% visibility, and over two-thirds have had a breach start from something unknown or unmanaged. Universal Asset Insights fixes that at the root. It's built on DNS and DHCP, the two protocols every device must use to connect, extended with 40+ integrations across cloud, security, and endpoint tools. The result is one continuously validated inventory instead of nine disconnected lists — and a CMDB and AI initiatives you can </w:t>
      </w:r>
      <w:proofErr w:type="gramStart"/>
      <w:r>
        <w:rPr>
          <w:i/>
        </w:rPr>
        <w:t>actually trust</w:t>
      </w:r>
      <w:proofErr w:type="gramEnd"/>
      <w:r>
        <w:rPr>
          <w:i/>
        </w:rPr>
        <w:t>.”</w:t>
      </w:r>
    </w:p>
    <w:p w14:paraId="3D932B90" w14:textId="77777777" w:rsidR="007206C9" w:rsidRDefault="00000000">
      <w:pPr>
        <w:pStyle w:val="Heading2"/>
      </w:pPr>
      <w:r>
        <w:t>3-Minute Overview</w:t>
      </w:r>
    </w:p>
    <w:p w14:paraId="51FB1611" w14:textId="77777777" w:rsidR="007206C9" w:rsidRDefault="00000000">
      <w:r>
        <w:rPr>
          <w:i/>
        </w:rPr>
        <w:t xml:space="preserve">“Today, most organizations run their infrastructure blind in three specific ways. They can't see unmanaged and shadow assets — that's the Visibility Gap. Their CMDB and their tools disagree about what's </w:t>
      </w:r>
      <w:proofErr w:type="gramStart"/>
      <w:r>
        <w:rPr>
          <w:i/>
        </w:rPr>
        <w:t>actually out</w:t>
      </w:r>
      <w:proofErr w:type="gramEnd"/>
      <w:r>
        <w:rPr>
          <w:i/>
        </w:rPr>
        <w:t xml:space="preserve"> there — that's the Truth Gap. And even when risk is visible, like a dangling DNS record or a decommissioned cloud resource still exposed, nothing closes it — that's the Action Gap. Universal Asset Insights addresses all three with one architecture: Discovery, Inventory, and Insights. Discovery is DNS/DHCP-native, so it sees every device the instant it connects, no agents, no scans — and it's extended with 40+ API integrations for cloud, security, endpoint, and IoT/OT platforms. Inventory takes everything Discovery finds and normalizes, deduplicates, and correlates it into one authoritative record per asset. And Insights turns that record into role-specific action — NetOps sees IP conflicts and zombie assets, SecOps gets DNS threat context, IT and Compliance get continuous CMDB validation instead of a quarterly cleanup project. Customers using this see 95% CMDB accuracy, 16 hours a month back from manual reconciliation, and sub-30-minute incident </w:t>
      </w:r>
      <w:r>
        <w:rPr>
          <w:i/>
        </w:rPr>
        <w:lastRenderedPageBreak/>
        <w:t>response. And as AI and automation initiatives scale, this becomes the trusted foundation those initiatives run on — because an AI agent is only as good as the data it's grounded in.”</w:t>
      </w:r>
    </w:p>
    <w:p w14:paraId="288A7374" w14:textId="77777777" w:rsidR="007206C9" w:rsidRDefault="00000000">
      <w:pPr>
        <w:pStyle w:val="Heading2"/>
      </w:pPr>
      <w:r>
        <w:t>Pre-Demo Checklist</w:t>
      </w:r>
    </w:p>
    <w:p w14:paraId="627BE47B" w14:textId="77777777" w:rsidR="007206C9" w:rsidRDefault="00000000">
      <w:pPr>
        <w:pStyle w:val="ListParagraph"/>
        <w:numPr>
          <w:ilvl w:val="0"/>
          <w:numId w:val="2"/>
        </w:numPr>
      </w:pPr>
      <w:r>
        <w:t>Discovery configured and syncing (confirm last sync time is recent)</w:t>
      </w:r>
    </w:p>
    <w:p w14:paraId="45F93D7E" w14:textId="77777777" w:rsidR="007206C9" w:rsidRDefault="00000000">
      <w:pPr>
        <w:pStyle w:val="ListParagraph"/>
        <w:numPr>
          <w:ilvl w:val="0"/>
          <w:numId w:val="2"/>
        </w:numPr>
      </w:pPr>
      <w:r>
        <w:t>Integrations healthy — spot-check the specific providers relevant to this customer's stack</w:t>
      </w:r>
    </w:p>
    <w:p w14:paraId="05B8D974" w14:textId="77777777" w:rsidR="007206C9" w:rsidRDefault="00000000">
      <w:pPr>
        <w:pStyle w:val="ListParagraph"/>
        <w:numPr>
          <w:ilvl w:val="0"/>
          <w:numId w:val="2"/>
        </w:numPr>
      </w:pPr>
      <w:r>
        <w:t>Assets synchronized and visible in the unified inventory view</w:t>
      </w:r>
    </w:p>
    <w:p w14:paraId="1F7ADFFB" w14:textId="77777777" w:rsidR="007206C9" w:rsidRDefault="00000000">
      <w:pPr>
        <w:pStyle w:val="ListParagraph"/>
        <w:numPr>
          <w:ilvl w:val="0"/>
          <w:numId w:val="2"/>
        </w:numPr>
      </w:pPr>
      <w:r>
        <w:t>Assets of Interest scenarios validated for this demo (see Section 5 and the relevant integration one-pager)</w:t>
      </w:r>
    </w:p>
    <w:p w14:paraId="47EF536F" w14:textId="77777777" w:rsidR="007206C9" w:rsidRDefault="00000000">
      <w:pPr>
        <w:pStyle w:val="ListParagraph"/>
        <w:numPr>
          <w:ilvl w:val="0"/>
          <w:numId w:val="2"/>
        </w:numPr>
      </w:pPr>
      <w:r>
        <w:t>Storyline prepared: which persona is in the room, and which outcome matters most to them</w:t>
      </w:r>
    </w:p>
    <w:sectPr w:rsidR="007206C9">
      <w:headerReference w:type="default" r:id="rId12"/>
      <w:footerReference w:type="even" r:id="rId13"/>
      <w:footerReference w:type="default" r:id="rId14"/>
      <w:footerReference w:type="first" r:id="rId15"/>
      <w:pgSz w:w="12240" w:h="15840"/>
      <w:pgMar w:top="2520" w:right="144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1268D8" w14:textId="77777777" w:rsidR="00A909EC" w:rsidRDefault="00A909EC">
      <w:pPr>
        <w:spacing w:line="240" w:lineRule="auto"/>
      </w:pPr>
      <w:r>
        <w:separator/>
      </w:r>
    </w:p>
  </w:endnote>
  <w:endnote w:type="continuationSeparator" w:id="0">
    <w:p w14:paraId="06C05272" w14:textId="77777777" w:rsidR="00A909EC" w:rsidRDefault="00A909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800000AF" w:usb1="4000604A"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4EB7E" w14:textId="0B6C829C" w:rsidR="00287ECC" w:rsidRDefault="00287ECC">
    <w:pPr>
      <w:pStyle w:val="Footer"/>
    </w:pPr>
    <w:r>
      <w:rPr>
        <w:noProof/>
      </w:rPr>
      <mc:AlternateContent>
        <mc:Choice Requires="wps">
          <w:drawing>
            <wp:anchor distT="0" distB="0" distL="0" distR="0" simplePos="0" relativeHeight="251662336" behindDoc="0" locked="0" layoutInCell="1" allowOverlap="1" wp14:anchorId="5CDB56B0" wp14:editId="63250184">
              <wp:simplePos x="635" y="635"/>
              <wp:positionH relativeFrom="page">
                <wp:align>left</wp:align>
              </wp:positionH>
              <wp:positionV relativeFrom="page">
                <wp:align>bottom</wp:align>
              </wp:positionV>
              <wp:extent cx="654050" cy="371475"/>
              <wp:effectExtent l="0" t="0" r="12700" b="0"/>
              <wp:wrapNone/>
              <wp:docPr id="200359632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050" cy="371475"/>
                      </a:xfrm>
                      <a:prstGeom prst="rect">
                        <a:avLst/>
                      </a:prstGeom>
                      <a:noFill/>
                      <a:ln>
                        <a:noFill/>
                      </a:ln>
                    </wps:spPr>
                    <wps:txbx>
                      <w:txbxContent>
                        <w:p w14:paraId="24D12976" w14:textId="07304DCA" w:rsidR="00287ECC" w:rsidRPr="00287ECC" w:rsidRDefault="00287ECC" w:rsidP="00287ECC">
                          <w:pPr>
                            <w:rPr>
                              <w:rFonts w:ascii="Aptos" w:eastAsia="Aptos" w:hAnsi="Aptos" w:cs="Aptos"/>
                              <w:noProof/>
                              <w:color w:val="000000"/>
                              <w:sz w:val="20"/>
                              <w:szCs w:val="20"/>
                            </w:rPr>
                          </w:pPr>
                          <w:r w:rsidRPr="00287ECC">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CDB56B0">
              <v:stroke joinstyle="miter"/>
              <v:path gradientshapeok="t" o:connecttype="rect"/>
            </v:shapetype>
            <v:shape id="Text Box 2" style="position:absolute;margin-left:0;margin-top:0;width:51.5pt;height:29.25pt;z-index:251662336;visibility:visible;mso-wrap-style:none;mso-wrap-distance-left:0;mso-wrap-distance-top:0;mso-wrap-distance-right:0;mso-wrap-distance-bottom:0;mso-position-horizontal:left;mso-position-horizontal-relative:page;mso-position-vertical:bottom;mso-position-vertical-relative:page;v-text-anchor:bottom"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">
              <v:fill o:detectmouseclick="t"/>
              <v:textbox style="mso-fit-shape-to-text:t" inset="20pt,0,0,15pt">
                <w:txbxContent>
                  <w:p w:rsidRPr="00287ECC" w:rsidR="00287ECC" w:rsidP="00287ECC" w:rsidRDefault="00287ECC" w14:paraId="24D12976" w14:textId="07304DCA">
                    <w:pPr>
                      <w:rPr>
                        <w:rFonts w:ascii="Aptos" w:hAnsi="Aptos" w:eastAsia="Aptos" w:cs="Aptos"/>
                        <w:noProof/>
                        <w:color w:val="000000"/>
                        <w:sz w:val="20"/>
                        <w:szCs w:val="20"/>
                      </w:rPr>
                    </w:pPr>
                    <w:r w:rsidRPr="00287ECC">
                      <w:rPr>
                        <w:rFonts w:ascii="Aptos" w:hAnsi="Aptos" w:eastAsia="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6AD95" w14:textId="3B0651C2" w:rsidR="004575B4" w:rsidRDefault="00287ECC">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0" distR="0" simplePos="0" relativeHeight="251663360" behindDoc="0" locked="0" layoutInCell="1" allowOverlap="1" wp14:anchorId="7C7B4F46" wp14:editId="11AC1B88">
              <wp:simplePos x="635" y="635"/>
              <wp:positionH relativeFrom="page">
                <wp:align>left</wp:align>
              </wp:positionH>
              <wp:positionV relativeFrom="page">
                <wp:align>bottom</wp:align>
              </wp:positionV>
              <wp:extent cx="654050" cy="371475"/>
              <wp:effectExtent l="0" t="0" r="12700" b="0"/>
              <wp:wrapNone/>
              <wp:docPr id="290668073"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050" cy="371475"/>
                      </a:xfrm>
                      <a:prstGeom prst="rect">
                        <a:avLst/>
                      </a:prstGeom>
                      <a:noFill/>
                      <a:ln>
                        <a:noFill/>
                      </a:ln>
                    </wps:spPr>
                    <wps:txbx>
                      <w:txbxContent>
                        <w:p w14:paraId="522E4703" w14:textId="54671561" w:rsidR="00287ECC" w:rsidRPr="00287ECC" w:rsidRDefault="00287ECC" w:rsidP="00287ECC">
                          <w:pPr>
                            <w:rPr>
                              <w:rFonts w:ascii="Aptos" w:eastAsia="Aptos" w:hAnsi="Aptos" w:cs="Aptos"/>
                              <w:noProof/>
                              <w:color w:val="000000"/>
                              <w:sz w:val="20"/>
                              <w:szCs w:val="20"/>
                            </w:rPr>
                          </w:pPr>
                          <w:r w:rsidRPr="00287ECC">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C7B4F46">
              <v:stroke joinstyle="miter"/>
              <v:path gradientshapeok="t" o:connecttype="rect"/>
            </v:shapetype>
            <v:shape id="Text Box 3" style="position:absolute;margin-left:0;margin-top:0;width:51.5pt;height:29.25pt;z-index:251663360;visibility:visible;mso-wrap-style:none;mso-wrap-distance-left:0;mso-wrap-distance-top:0;mso-wrap-distance-right:0;mso-wrap-distance-bottom:0;mso-position-horizontal:left;mso-position-horizontal-relative:page;mso-position-vertical:bottom;mso-position-vertical-relative:page;v-text-anchor:bottom"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">
              <v:fill o:detectmouseclick="t"/>
              <v:textbox style="mso-fit-shape-to-text:t" inset="20pt,0,0,15pt">
                <w:txbxContent>
                  <w:p w:rsidRPr="00287ECC" w:rsidR="00287ECC" w:rsidP="00287ECC" w:rsidRDefault="00287ECC" w14:paraId="522E4703" w14:textId="54671561">
                    <w:pPr>
                      <w:rPr>
                        <w:rFonts w:ascii="Aptos" w:hAnsi="Aptos" w:eastAsia="Aptos" w:cs="Aptos"/>
                        <w:noProof/>
                        <w:color w:val="000000"/>
                        <w:sz w:val="20"/>
                        <w:szCs w:val="20"/>
                      </w:rPr>
                    </w:pPr>
                    <w:r w:rsidRPr="00287ECC">
                      <w:rPr>
                        <w:rFonts w:ascii="Aptos" w:hAnsi="Aptos" w:eastAsia="Aptos" w:cs="Aptos"/>
                        <w:noProof/>
                        <w:color w:val="000000"/>
                        <w:sz w:val="20"/>
                        <w:szCs w:val="20"/>
                      </w:rPr>
                      <w:t>Internal</w:t>
                    </w:r>
                  </w:p>
                </w:txbxContent>
              </v:textbox>
              <w10:wrap anchorx="page" anchory="page"/>
            </v:shape>
          </w:pict>
        </mc:Fallback>
      </mc:AlternateContent>
    </w:r>
    <w:r w:rsidR="00920BFC">
      <w:rPr>
        <w:noProof/>
      </w:rPr>
      <mc:AlternateContent>
        <mc:Choice Requires="wps">
          <w:drawing>
            <wp:anchor distT="0" distB="0" distL="114300" distR="114300" simplePos="0" relativeHeight="251659264" behindDoc="0" locked="0" layoutInCell="1" hidden="0" allowOverlap="1" wp14:anchorId="2479FC03" wp14:editId="76C5D721">
              <wp:simplePos x="0" y="0"/>
              <wp:positionH relativeFrom="column">
                <wp:posOffset>-177799</wp:posOffset>
              </wp:positionH>
              <wp:positionV relativeFrom="paragraph">
                <wp:posOffset>152400</wp:posOffset>
              </wp:positionV>
              <wp:extent cx="6882936" cy="266379"/>
              <wp:effectExtent l="0" t="0" r="0" b="0"/>
              <wp:wrapNone/>
              <wp:docPr id="12" name="Rectangle 12"/>
              <wp:cNvGraphicFramePr/>
              <a:graphic xmlns:a="http://schemas.openxmlformats.org/drawingml/2006/main">
                <a:graphicData uri="http://schemas.microsoft.com/office/word/2010/wordprocessingShape">
                  <wps:wsp>
                    <wps:cNvSpPr/>
                    <wps:spPr>
                      <a:xfrm>
                        <a:off x="1909295" y="3651573"/>
                        <a:ext cx="6873411" cy="256854"/>
                      </a:xfrm>
                      <a:prstGeom prst="rect">
                        <a:avLst/>
                      </a:prstGeom>
                      <a:solidFill>
                        <a:schemeClr val="lt1"/>
                      </a:solidFill>
                      <a:ln>
                        <a:noFill/>
                      </a:ln>
                    </wps:spPr>
                    <wps:txbx>
                      <w:txbxContent>
                        <w:p w14:paraId="5E8CA31F" w14:textId="77777777" w:rsidR="004575B4" w:rsidRDefault="00920BFC">
                          <w:pPr>
                            <w:spacing w:line="275" w:lineRule="auto"/>
                            <w:textDirection w:val="btLr"/>
                          </w:pPr>
                          <w:r>
                            <w:rPr>
                              <w:rFonts w:ascii="Lato" w:eastAsia="Lato" w:hAnsi="Lato" w:cs="Lato"/>
                              <w:color w:val="A6A6A6"/>
                              <w:sz w:val="16"/>
                            </w:rPr>
                            <w:t>© Infoblox Inc. All rights reserved.</w:t>
                          </w:r>
                        </w:p>
                      </w:txbxContent>
                    </wps:txbx>
                    <wps:bodyPr spcFirstLastPara="1" wrap="square" lIns="91425" tIns="45700" rIns="91425" bIns="45700" anchor="t" anchorCtr="0">
                      <a:noAutofit/>
                    </wps:bodyPr>
                  </wps:wsp>
                </a:graphicData>
              </a:graphic>
            </wp:anchor>
          </w:drawing>
        </mc:Choice>
        <mc:Fallback xmlns:a="http://schemas.openxmlformats.org/drawingml/2006/main" xmlns:aclsh="http://schemas.microsoft.com/office/drawing/2020/classificationShape">
          <w:pict>
            <v:rect id="Rectangle 12" style="position:absolute;margin-left:-14pt;margin-top:12pt;width:541.95pt;height:20.95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w14:anchorId="2479FC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">
              <v:textbox inset="2.53958mm,1.2694mm,2.53958mm,1.2694mm">
                <w:txbxContent>
                  <w:p w:rsidR="004575B4" w:rsidRDefault="00920BFC" w14:paraId="5E8CA31F" w14:textId="77777777">
                    <w:pPr>
                      <w:spacing w:line="275" w:lineRule="auto"/>
                      <w:textDirection w:val="btLr"/>
                    </w:pPr>
                    <w:r>
                      <w:rPr>
                        <w:rFonts w:ascii="Lato" w:hAnsi="Lato" w:eastAsia="Lato" w:cs="Lato"/>
                        <w:color w:val="A6A6A6"/>
                        <w:sz w:val="16"/>
                      </w:rPr>
                      <w:t>© Infoblox Inc. All rights reserved.</w:t>
                    </w:r>
                  </w:p>
                </w:txbxContent>
              </v:textbox>
            </v:rect>
          </w:pict>
        </mc:Fallback>
      </mc:AlternateContent>
    </w:r>
    <w:r w:rsidR="00920BFC">
      <w:rPr>
        <w:noProof/>
      </w:rPr>
      <mc:AlternateContent>
        <mc:Choice Requires="wps">
          <w:drawing>
            <wp:anchor distT="0" distB="0" distL="114300" distR="114300" simplePos="0" relativeHeight="251660288" behindDoc="0" locked="0" layoutInCell="1" hidden="0" allowOverlap="1" wp14:anchorId="1EDAF73D" wp14:editId="514BA884">
              <wp:simplePos x="0" y="0"/>
              <wp:positionH relativeFrom="column">
                <wp:posOffset>-177799</wp:posOffset>
              </wp:positionH>
              <wp:positionV relativeFrom="paragraph">
                <wp:posOffset>127000</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1909380" y="3780000"/>
                        <a:ext cx="6873240" cy="0"/>
                      </a:xfrm>
                      <a:prstGeom prst="straightConnector1">
                        <a:avLst/>
                      </a:prstGeom>
                      <a:noFill/>
                      <a:ln w="9525" cap="flat" cmpd="sng">
                        <a:solidFill>
                          <a:srgbClr val="D8D8D8"/>
                        </a:solidFill>
                        <a:prstDash val="solid"/>
                        <a:miter lim="800000"/>
                        <a:headEnd type="none" w="sm" len="sm"/>
                        <a:tailEnd type="none" w="sm" len="sm"/>
                      </a:ln>
                    </wps:spPr>
                    <wps:bodyPr/>
                  </wps:wsp>
                </a:graphicData>
              </a:graphic>
            </wp:anchor>
          </w:drawing>
        </mc:Choice>
        <mc:Fallback xmlns:a="http://schemas.openxmlformats.org/drawingml/2006/main" xmlns:aclsh="http://schemas.microsoft.com/office/drawing/2020/classificationShape">
          <w:pict>
            <v:shapetype id="_x0000_t32" coordsize="21600,21600" o:oned="t" filled="f" o:spt="32" path="m,l21600,21600e" w14:anchorId="2EA8E5CC">
              <v:path fillok="f" arrowok="t" o:connecttype="none"/>
              <o:lock v:ext="edit" shapetype="t"/>
            </v:shapetype>
            <v:shape id="Straight Arrow Connector 13" style="position:absolute;margin-left:-14pt;margin-top:10pt;width:0;height:1pt;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d8d8d8"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">
              <v:stroke joinstyle="miter" startarrowwidth="narrow" startarrowlength="short" endarrowwidth="narrow" endarrowlength="short"/>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2155CB" w14:textId="317C316F" w:rsidR="00287ECC" w:rsidRDefault="00287ECC">
    <w:pPr>
      <w:pStyle w:val="Footer"/>
    </w:pPr>
    <w:r>
      <w:rPr>
        <w:noProof/>
      </w:rPr>
      <mc:AlternateContent>
        <mc:Choice Requires="wps">
          <w:drawing>
            <wp:anchor distT="0" distB="0" distL="0" distR="0" simplePos="0" relativeHeight="251661312" behindDoc="0" locked="0" layoutInCell="1" allowOverlap="1" wp14:anchorId="04814DAA" wp14:editId="4591A12A">
              <wp:simplePos x="635" y="635"/>
              <wp:positionH relativeFrom="page">
                <wp:align>left</wp:align>
              </wp:positionH>
              <wp:positionV relativeFrom="page">
                <wp:align>bottom</wp:align>
              </wp:positionV>
              <wp:extent cx="654050" cy="371475"/>
              <wp:effectExtent l="0" t="0" r="12700" b="0"/>
              <wp:wrapNone/>
              <wp:docPr id="130926371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050" cy="371475"/>
                      </a:xfrm>
                      <a:prstGeom prst="rect">
                        <a:avLst/>
                      </a:prstGeom>
                      <a:noFill/>
                      <a:ln>
                        <a:noFill/>
                      </a:ln>
                    </wps:spPr>
                    <wps:txbx>
                      <w:txbxContent>
                        <w:p w14:paraId="282C7DB9" w14:textId="77777777" w:rsidR="00287ECC" w:rsidRPr="00287ECC" w:rsidRDefault="00287ECC" w:rsidP="00287ECC">
                          <w:pPr>
                            <w:rPr>
                              <w:rFonts w:ascii="Aptos" w:eastAsia="Aptos" w:hAnsi="Aptos" w:cs="Aptos"/>
                              <w:noProof/>
                              <w:color w:val="00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04814DAA">
              <v:stroke joinstyle="miter"/>
              <v:path gradientshapeok="t" o:connecttype="rect"/>
            </v:shapetype>
            <v:shape id="Text Box 1" style="position:absolute;margin-left:0;margin-top:0;width:51.5pt;height:29.25pt;z-index:251661312;visibility:visible;mso-wrap-style:none;mso-wrap-distance-left:0;mso-wrap-distance-top:0;mso-wrap-distance-right:0;mso-wrap-distance-bottom:0;mso-position-horizontal:left;mso-position-horizontal-relative:page;mso-position-vertical:bottom;mso-position-vertical-relative:page;v-text-anchor:bottom" alt="Intern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">
              <v:fill o:detectmouseclick="t"/>
              <v:textbox style="mso-fit-shape-to-text:t" inset="20pt,0,0,15pt">
                <w:txbxContent>
                  <w:p w:rsidRPr="00287ECC" w:rsidR="00287ECC" w:rsidP="00287ECC" w:rsidRDefault="00287ECC" w14:paraId="282C7DB9" w14:textId="77777777">
                    <w:pPr>
                      <w:rPr>
                        <w:rFonts w:ascii="Aptos" w:hAnsi="Aptos" w:eastAsia="Aptos" w:cs="Aptos"/>
                        <w:noProof/>
                        <w:color w:val="000000"/>
                        <w:sz w:val="20"/>
                        <w:szCs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489C8B" w14:textId="77777777" w:rsidR="00A909EC" w:rsidRDefault="00A909EC">
      <w:pPr>
        <w:spacing w:line="240" w:lineRule="auto"/>
      </w:pPr>
      <w:r>
        <w:separator/>
      </w:r>
    </w:p>
  </w:footnote>
  <w:footnote w:type="continuationSeparator" w:id="0">
    <w:p w14:paraId="6FA5AC66" w14:textId="77777777" w:rsidR="00A909EC" w:rsidRDefault="00A909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C7809D" w14:textId="77777777" w:rsidR="004575B4" w:rsidRDefault="00920BFC">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8240" behindDoc="1" locked="0" layoutInCell="1" hidden="0" allowOverlap="1" wp14:anchorId="28252F0C" wp14:editId="358AAF75">
          <wp:simplePos x="0" y="0"/>
          <wp:positionH relativeFrom="column">
            <wp:posOffset>-678093</wp:posOffset>
          </wp:positionH>
          <wp:positionV relativeFrom="paragraph">
            <wp:posOffset>-462336</wp:posOffset>
          </wp:positionV>
          <wp:extent cx="7758430" cy="1119864"/>
          <wp:effectExtent l="0" t="0" r="0" b="0"/>
          <wp:wrapNone/>
          <wp:docPr id="14" name="image1.png" descr="Shap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10;&#10;Description automatically generated"/>
                  <pic:cNvPicPr preferRelativeResize="0"/>
                </pic:nvPicPr>
                <pic:blipFill>
                  <a:blip r:embed="rId1"/>
                  <a:srcRect/>
                  <a:stretch>
                    <a:fillRect/>
                  </a:stretch>
                </pic:blipFill>
                <pic:spPr>
                  <a:xfrm>
                    <a:off x="0" y="0"/>
                    <a:ext cx="7758430" cy="111986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6629FD"/>
    <w:multiLevelType w:val="multilevel"/>
    <w:tmpl w:val="F89C44D6"/>
    <w:lvl w:ilvl="0">
      <w:start w:val="1"/>
      <w:numFmt w:val="bullet"/>
      <w:lvlText w:val="•"/>
      <w:lvlJc w:val="left"/>
      <w:pPr>
        <w:ind w:left="432" w:hanging="288"/>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54272A2"/>
    <w:multiLevelType w:val="hybridMultilevel"/>
    <w:tmpl w:val="7584A4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1561275">
    <w:abstractNumId w:val="1"/>
  </w:num>
  <w:num w:numId="2" w16cid:durableId="17615612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FD"/>
    <w:rsid w:val="000618AA"/>
    <w:rsid w:val="000E48AB"/>
    <w:rsid w:val="00166334"/>
    <w:rsid w:val="001A7DFD"/>
    <w:rsid w:val="001C36E6"/>
    <w:rsid w:val="002422A2"/>
    <w:rsid w:val="00287ECC"/>
    <w:rsid w:val="002C0FDF"/>
    <w:rsid w:val="002D6916"/>
    <w:rsid w:val="00310645"/>
    <w:rsid w:val="003700F9"/>
    <w:rsid w:val="00371820"/>
    <w:rsid w:val="003B2636"/>
    <w:rsid w:val="004575B4"/>
    <w:rsid w:val="00467332"/>
    <w:rsid w:val="004E3F54"/>
    <w:rsid w:val="005166FC"/>
    <w:rsid w:val="005361CD"/>
    <w:rsid w:val="00586288"/>
    <w:rsid w:val="0059190B"/>
    <w:rsid w:val="00602582"/>
    <w:rsid w:val="00606B32"/>
    <w:rsid w:val="00622E55"/>
    <w:rsid w:val="007206C9"/>
    <w:rsid w:val="007E5E3B"/>
    <w:rsid w:val="008C51D2"/>
    <w:rsid w:val="00902017"/>
    <w:rsid w:val="00920BFC"/>
    <w:rsid w:val="009E5EC2"/>
    <w:rsid w:val="00A04F29"/>
    <w:rsid w:val="00A07982"/>
    <w:rsid w:val="00A909EC"/>
    <w:rsid w:val="00AC5CEE"/>
    <w:rsid w:val="00B10473"/>
    <w:rsid w:val="00B977ED"/>
    <w:rsid w:val="00C313DB"/>
    <w:rsid w:val="00C83121"/>
    <w:rsid w:val="00CD0818"/>
    <w:rsid w:val="00D03952"/>
    <w:rsid w:val="00D27386"/>
    <w:rsid w:val="00D443CF"/>
    <w:rsid w:val="00D84258"/>
    <w:rsid w:val="00D949CF"/>
    <w:rsid w:val="00DB7530"/>
    <w:rsid w:val="00DD402F"/>
    <w:rsid w:val="00E751B6"/>
    <w:rsid w:val="00EA0763"/>
    <w:rsid w:val="00EA1607"/>
    <w:rsid w:val="00F206E9"/>
    <w:rsid w:val="00F42DF3"/>
    <w:rsid w:val="00F54037"/>
    <w:rsid w:val="00F72AFF"/>
    <w:rsid w:val="0919B0F2"/>
    <w:rsid w:val="67E8E7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BA96"/>
  <w15:docId w15:val="{D4E8BDB9-52B4-674C-98F7-366869BD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Header">
    <w:name w:val="header"/>
    <w:basedOn w:val="Normal"/>
    <w:link w:val="HeaderChar"/>
    <w:uiPriority w:val="99"/>
    <w:unhideWhenUsed/>
    <w:rsid w:val="002F7D07"/>
    <w:pPr>
      <w:tabs>
        <w:tab w:val="center" w:pos="4680"/>
        <w:tab w:val="right" w:pos="9360"/>
      </w:tabs>
    </w:pPr>
  </w:style>
  <w:style w:type="character" w:customStyle="1" w:styleId="HeaderChar">
    <w:name w:val="Header Char"/>
    <w:basedOn w:val="DefaultParagraphFont"/>
    <w:link w:val="Header"/>
    <w:uiPriority w:val="99"/>
    <w:rsid w:val="002F7D07"/>
  </w:style>
  <w:style w:type="paragraph" w:styleId="Footer">
    <w:name w:val="footer"/>
    <w:basedOn w:val="Normal"/>
    <w:link w:val="FooterChar"/>
    <w:uiPriority w:val="99"/>
    <w:unhideWhenUsed/>
    <w:rsid w:val="002F7D07"/>
    <w:pPr>
      <w:tabs>
        <w:tab w:val="center" w:pos="4680"/>
        <w:tab w:val="right" w:pos="9360"/>
      </w:tabs>
    </w:pPr>
  </w:style>
  <w:style w:type="character" w:customStyle="1" w:styleId="FooterChar">
    <w:name w:val="Footer Char"/>
    <w:basedOn w:val="DefaultParagraphFont"/>
    <w:link w:val="Footer"/>
    <w:uiPriority w:val="99"/>
    <w:rsid w:val="002F7D07"/>
  </w:style>
  <w:style w:type="paragraph" w:styleId="NormalWeb">
    <w:name w:val="Normal (Web)"/>
    <w:basedOn w:val="Normal"/>
    <w:uiPriority w:val="99"/>
    <w:semiHidden/>
    <w:unhideWhenUsed/>
    <w:rsid w:val="002602DC"/>
    <w:pPr>
      <w:spacing w:before="100" w:beforeAutospacing="1" w:after="100" w:afterAutospacing="1" w:line="240" w:lineRule="auto"/>
    </w:pPr>
    <w:rPr>
      <w:rFonts w:ascii="Times New Roman" w:eastAsia="Times New Roman" w:hAnsi="Times New Roman" w:cs="Times New Roman"/>
    </w:rPr>
  </w:style>
  <w:style w:type="table" w:styleId="TableGrid">
    <w:name w:val="Table Grid"/>
    <w:basedOn w:val="TableNormal"/>
    <w:uiPriority w:val="39"/>
    <w:rsid w:val="009D3C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TitleChar">
    <w:name w:val="Title Char"/>
    <w:basedOn w:val="DefaultParagraphFont"/>
    <w:link w:val="Title"/>
    <w:uiPriority w:val="10"/>
    <w:rsid w:val="008C51D2"/>
    <w:rPr>
      <w:b/>
      <w:sz w:val="72"/>
      <w:szCs w:val="72"/>
    </w:rPr>
  </w:style>
  <w:style w:type="paragraph" w:styleId="ListParagraph">
    <w:name w:val="List Paragraph"/>
    <w:basedOn w:val="Normal"/>
    <w:uiPriority w:val="34"/>
    <w:qFormat/>
    <w:rsid w:val="00EA0763"/>
    <w:pPr>
      <w:ind w:left="720"/>
      <w:contextualSpacing/>
    </w:pPr>
  </w:style>
  <w:style w:type="character" w:styleId="Hyperlink">
    <w:name w:val="Hyperlink"/>
    <w:basedOn w:val="DefaultParagraphFont"/>
    <w:uiPriority w:val="99"/>
    <w:unhideWhenUsed/>
    <w:rsid w:val="00B977ED"/>
    <w:rPr>
      <w:color w:val="0563C1" w:themeColor="hyperlink"/>
      <w:u w:val="single"/>
    </w:rPr>
  </w:style>
  <w:style w:type="character" w:styleId="UnresolvedMention">
    <w:name w:val="Unresolved Mention"/>
    <w:basedOn w:val="DefaultParagraphFont"/>
    <w:uiPriority w:val="99"/>
    <w:semiHidden/>
    <w:unhideWhenUsed/>
    <w:rsid w:val="00B977ED"/>
    <w:rPr>
      <w:color w:val="605E5C"/>
      <w:shd w:val="clear" w:color="auto" w:fill="E1DFDD"/>
    </w:rPr>
  </w:style>
  <w:style w:type="character" w:styleId="FollowedHyperlink">
    <w:name w:val="FollowedHyperlink"/>
    <w:basedOn w:val="DefaultParagraphFont"/>
    <w:uiPriority w:val="99"/>
    <w:semiHidden/>
    <w:unhideWhenUsed/>
    <w:rsid w:val="00C313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infoblox.sharepoint.com/sites/org-wide-templates/Infoblox/General-template%20(short%20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1BABD27ECE1C44BA82B2C3C1D4E524" ma:contentTypeVersion="12" ma:contentTypeDescription="Create a new document." ma:contentTypeScope="" ma:versionID="ac9ab8122394e82d96f5b43df35e24eb">
  <xsd:schema xmlns:xsd="http://www.w3.org/2001/XMLSchema" xmlns:xs="http://www.w3.org/2001/XMLSchema" xmlns:p="http://schemas.microsoft.com/office/2006/metadata/properties" xmlns:ns2="47b149d6-05ed-4982-8029-6c375d4a3edb" xmlns:ns3="aed4e747-c29a-4da4-8227-249e174df052" targetNamespace="http://schemas.microsoft.com/office/2006/metadata/properties" ma:root="true" ma:fieldsID="88820e9286011778db3f7f98b37f961c" ns2:_="" ns3:_="">
    <xsd:import namespace="47b149d6-05ed-4982-8029-6c375d4a3edb"/>
    <xsd:import namespace="aed4e747-c29a-4da4-8227-249e174df0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149d6-05ed-4982-8029-6c375d4a3e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423b449-89b8-4f2f-be83-0838d65600c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d4e747-c29a-4da4-8227-249e174df0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3d8c20-1b35-4650-9524-24c50fa12609}" ma:internalName="TaxCatchAll" ma:showField="CatchAllData" ma:web="aed4e747-c29a-4da4-8227-249e174df0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7b149d6-05ed-4982-8029-6c375d4a3edb">
      <Terms xmlns="http://schemas.microsoft.com/office/infopath/2007/PartnerControls"/>
    </lcf76f155ced4ddcb4097134ff3c332f>
    <TaxCatchAll xmlns="aed4e747-c29a-4da4-8227-249e174df0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O+rVUPELB8XVNpw1fn7ZhvnPNg==">AMUW2mVnihge9WKmD2gQAVR8vJob3dR3VnaD5Osmz8Mo01NFQ7Pm915+kGurUv+EkaBqPsVGGbxlZh/r7v16w9ai5/b6M3NUeDLjdxijlI3IgI1WIUzR5bc=</go:docsCustomData>
</go:gDocsCustomXmlDataStorage>
</file>

<file path=customXml/itemProps1.xml><?xml version="1.0" encoding="utf-8"?>
<ds:datastoreItem xmlns:ds="http://schemas.openxmlformats.org/officeDocument/2006/customXml" ds:itemID="{BBD0956E-B41A-4995-A4DA-8069752D03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149d6-05ed-4982-8029-6c375d4a3edb"/>
    <ds:schemaRef ds:uri="aed4e747-c29a-4da4-8227-249e174df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B5FAD9-A7B5-4737-ACBB-13AEAE65696F}">
  <ds:schemaRefs>
    <ds:schemaRef ds:uri="http://schemas.microsoft.com/office/2006/metadata/properties"/>
    <ds:schemaRef ds:uri="http://schemas.microsoft.com/office/infopath/2007/PartnerControls"/>
    <ds:schemaRef ds:uri="47b149d6-05ed-4982-8029-6c375d4a3edb"/>
    <ds:schemaRef ds:uri="aed4e747-c29a-4da4-8227-249e174df052"/>
  </ds:schemaRefs>
</ds:datastoreItem>
</file>

<file path=customXml/itemProps3.xml><?xml version="1.0" encoding="utf-8"?>
<ds:datastoreItem xmlns:ds="http://schemas.openxmlformats.org/officeDocument/2006/customXml" ds:itemID="{A50FA261-BB49-49E8-BD01-3631E579EEF9}">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a7c8e135-586f-42d6-8c21-47cdac4a7ae0}" enabled="1" method="Standard" siteId="{ccf6dc4a-9fe9-4c20-85a6-46d2709e8435}" removed="0"/>
</clbl:labelList>
</file>

<file path=docProps/app.xml><?xml version="1.0" encoding="utf-8"?>
<Properties xmlns="http://schemas.openxmlformats.org/officeDocument/2006/extended-properties" xmlns:vt="http://schemas.openxmlformats.org/officeDocument/2006/docPropsVTypes">
  <Template>General-template%20(short%20doc).dotx</Template>
  <TotalTime>2</TotalTime>
  <Pages>9</Pages>
  <Words>2115</Words>
  <Characters>12061</Characters>
  <Application>Microsoft Office Word</Application>
  <DocSecurity>0</DocSecurity>
  <Lines>100</Lines>
  <Paragraphs>28</Paragraphs>
  <ScaleCrop>false</ScaleCrop>
  <Company/>
  <LinksUpToDate>false</LinksUpToDate>
  <CharactersWithSpaces>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 Burke</dc:creator>
  <cp:lastModifiedBy>Rajkumar Repswal</cp:lastModifiedBy>
  <cp:revision>45</cp:revision>
  <dcterms:created xsi:type="dcterms:W3CDTF">2026-03-30T01:02:00Z</dcterms:created>
  <dcterms:modified xsi:type="dcterms:W3CDTF">2026-07-06T06:42:00Z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0x010100171BABD27ECE1C44BA82B2C3C1D4E524</vt:lpwstr>
  </property>
  <property fmtid="{D5CDD505-2E9C-101B-9397-08002B2CF9AE}" pid="3" name="Order">
    <vt:r8>8400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ClassificationContentMarkingFooterShapeIds">
    <vt:lpwstr>4e09c765,776c7427,11533e29</vt:lpwstr>
  </property>
  <property fmtid="{D5CDD505-2E9C-101B-9397-08002B2CF9AE}" pid="14" name="ClassificationContentMarkingFooterFontProps">
    <vt:lpwstr>#000000,10,Aptos</vt:lpwstr>
  </property>
  <property fmtid="{D5CDD505-2E9C-101B-9397-08002B2CF9AE}" pid="15" name="ClassificationContentMarkingFooterText">
    <vt:lpwstr>Internal</vt:lpwstr>
  </property>
</Properties>
</file>