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60" w:before="0" w:line="276" w:lineRule="auto"/>
        <w:ind w:firstLine="0"/>
        <w:jc w:val="both"/>
      </w:pPr>
      <w:r>
        <w:t>Проект KIDCITY включает в себя два предприятия: - Kidcity Ltd TIN 7813557792 - специализирующаяся на выращивании рыжий форель.</w:t>
      </w:r>
    </w:p>
    <w:p>
      <w:pPr>
        <w:pStyle w:val="ListBullet"/>
        <w:jc w:val="left"/>
      </w:pPr>
      <w:r>
        <w:rPr>
          <w:b w:val="0"/>
        </w:rPr>
        <w:t>ООО "UNR-90" INN 7814821626 - строительная организация, генеральный подрядчик проекта.</w:t>
      </w:r>
    </w:p>
    <w:p>
      <w:pPr>
        <w:pStyle w:val="Heading2"/>
        <w:keepNext/>
        <w:spacing w:before="280" w:after="160"/>
        <w:jc w:val="left"/>
      </w:pPr>
      <w:r>
        <w:t>Предварительные условия проекта 1. Государственная поддержка: Государство активно поддерживает реализацию таких проектов и обеспечивает следующие меры поддержки: - Субсидии на строительство и приобретение оборудования составляют до 40% капитальных затрат. 1 - Субсидии на приобретение кормов до 15%2 - Преференциальная ставка НДС 10% 3 2. Рост аквакультуры в мире и России: - Коммерческое аквакультура является самым экономичным способом производства белка в мире. - С 1980 года количество рыбы, выращиваемой в аквакультуре, достигло уровня рыбы, выловленной из естественных водоемов, и к 2022 году более чем удвоилось. - внутреннее производство получила значительный рост после введения контрсанкций в</w:t>
      </w:r>
    </w:p>
    <w:p>
      <w:pPr>
        <w:widowControl/>
        <w:spacing w:after="160" w:before="0" w:line="276" w:lineRule="auto"/>
        <w:ind w:firstLine="0"/>
        <w:jc w:val="both"/>
      </w:pPr>
      <w:r>
        <w:t>2014 год. В настоящее время Россия производит более 500 тыс. тонн различных видов рыб в год, и к 2030 году планируется увеличить их до 700 тыс. тонн.</w:t>
      </w:r>
    </w:p>
    <w:p>
      <w:pPr>
        <w:pStyle w:val="Heading2"/>
        <w:keepNext/>
        <w:spacing w:before="280" w:after="160"/>
        <w:jc w:val="left"/>
      </w:pPr>
      <w:r>
        <w:t>Требования рынка: - Промышленность испытывает хронический дефицит рыбного посадочного материала (FPM). - большое количество низкокачественных РПМ из-за стремления недобросовестных поставщиков сэкономить при покупке кавиара и кормов, что может привести к загрязнению всей фермы покупателя.</w:t>
      </w:r>
    </w:p>
    <w:p>
      <w:pPr>
        <w:widowControl/>
        <w:spacing w:after="160" w:before="0" w:line="276" w:lineRule="auto"/>
        <w:ind w:firstLine="0"/>
        <w:jc w:val="both"/>
      </w:pPr>
      <w:r>
        <w:t>Этот проект будет удовлетворять часть спроса на рынке с перспективой дальнейшего роста и возможности расширения производства.</w:t>
      </w:r>
    </w:p>
    <w:p>
      <w:pPr>
        <w:pStyle w:val="Heading2"/>
        <w:keepNext/>
        <w:spacing w:before="280" w:after="160"/>
        <w:jc w:val="left"/>
      </w:pPr>
      <w:r>
        <w:t>Текущий статус проекта Проект завершен на 45%.</w:t>
      </w:r>
    </w:p>
    <w:p>
      <w:pPr>
        <w:widowControl/>
        <w:spacing w:after="160" w:before="0" w:line="276" w:lineRule="auto"/>
        <w:ind w:firstLine="0"/>
        <w:jc w:val="both"/>
      </w:pPr>
      <w:r>
        <w:t>Постановление Правительства Российской Федерации от 24 ноября 2018 года No 1413 1 Постановление Правительства Ленинградской области от 04.02.2014 г. N 15 2 (рег. Спутниковое изображение участка земли в селе Малое Замошце Оба ангара предназначены для того, чтобы они могли функционировать независимо друг от друга.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82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p3_img3</w:t>
      </w:r>
    </w:p>
    <w:p>
      <w:pPr>
        <w:widowControl/>
        <w:spacing w:after="160" w:before="0" w:line="276" w:lineRule="auto"/>
        <w:ind w:firstLine="0"/>
        <w:jc w:val="both"/>
      </w:pPr>
      <w:r>
        <w:t>Биофильтр 1 корпус 2 1. Инфраструктура: - Производственный завод расположен в Ленинградской области, городской округ Гатчина, Малое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6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p4_img0</w:t>
      </w:r>
    </w:p>
    <w:p>
      <w:pPr>
        <w:widowControl/>
        <w:spacing w:after="160" w:before="0" w:line="276" w:lineRule="auto"/>
        <w:ind w:firstLine="0"/>
        <w:jc w:val="both"/>
      </w:pPr>
      <w:r>
        <w:t>Внутренняя планировка производственных зданий 2. Собственная организация-подрядчик - UNR-90 LLC: - имеет членство в SRO и разрешение на выполнение строительных работ. - Передан новым владельцам совместно с Kidcity Ltd. - способность влиять на оценки проектов.</w:t>
      </w:r>
    </w:p>
    <w:p>
      <w:pPr>
        <w:widowControl/>
        <w:spacing w:after="160" w:before="0" w:line="276" w:lineRule="auto"/>
        <w:ind w:firstLine="0"/>
        <w:jc w:val="both"/>
      </w:pPr>
      <w:r>
        <w:t>Деревня Замостье, в 8 км от выхода Киевского шоссе. - Хангер 1 (кадральный номер: 47:23:0439002:2296), площадь - 1 272 м2. Были завершены работы по заливке биофильтра и закладке этажей. - Хангер 2 (кадральный номер: 47:23:0439002:2297), площадь - 1 161 м2. Хангар полностью построен; земляные работы завершены, работа над наливанием биофильтров, бетонным полом и оснащением оборудованием ожидается. - земельный участок (кадральный номер: 47:23:0439002:2115) площадью 20 200 м2. - Были пробурены колодцы и получены лабораторные результаты химической работы по воде. - Электрификация участка. - Технические спецификации для газификации доступны в.</w:t>
      </w:r>
    </w:p>
    <w:p>
      <w:pPr>
        <w:pStyle w:val="ListNumber"/>
        <w:jc w:val="left"/>
      </w:pPr>
      <w:r>
        <w:rPr>
          <w:b w:val="0"/>
        </w:rPr>
        <w:t>Документация: - Подготовлена полная проектная документация. - Разработана программа выращивания. - Подготовлены документы для получения кредита от Россельхозбанка.4 Особенности проекта 1. Использование передовых технологий: - Применение современных методов выращивания в УЗВ обеспечивает высокую эффективность производства. - Использование высококачественных яиц и специализированных кормов обеспечивает быстрый рост и здоровый фри. - Опыт и квалификация главного рыбопродавца персонала обеспечивают последовательное высокое качество продукции. - Соглашения о намерениях для будущих поставок уже подписаны, что свидетельствует о высоком спросе на продукты на рынке.</w:t>
      </w:r>
    </w:p>
    <w:p>
      <w:pPr>
        <w:spacing w:before="120" w:after="120"/>
        <w:jc w:val="center"/>
      </w:pPr>
      <w:r>
        <w:rPr>
          <w:rFonts w:ascii="Courier New" w:hAnsi="Courier New"/>
        </w:rPr>
        <w:t>Сумма кредита по формуле 30/70 по текущей оценке составляет 150 млн рублей, при благоприятной 4-процентной ставке 7,5% годовых.</w:t>
      </w:r>
    </w:p>
    <w:p>
      <w:r>
        <w:br w:type="page"/>
      </w:r>
    </w:p>
    <w:p>
      <w:pPr>
        <w:pStyle w:val="Heading2"/>
        <w:keepNext/>
        <w:spacing w:before="280" w:after="160"/>
        <w:jc w:val="left"/>
      </w:pPr>
      <w:r>
        <w:t>3. Компенсация от</w:t>
      </w:r>
    </w:p>
    <w:p>
      <w:pPr>
        <w:widowControl/>
        <w:spacing w:after="160" w:before="0" w:line="276" w:lineRule="auto"/>
        <w:ind w:firstLine="0"/>
        <w:jc w:val="both"/>
      </w:pPr>
      <w:r>
        <w:t>государства: - Согласовано возмещение правительством до 40% капитальных затрат. - При текущей оценке 220 миллионов рублей компенсация составит 88 миллионов рублей и может быть получена уже в следующем году.</w:t>
      </w:r>
    </w:p>
    <w:p>
      <w:pPr>
        <w:pStyle w:val="Heading2"/>
        <w:keepNext/>
        <w:spacing w:before="280" w:after="160"/>
        <w:jc w:val="left"/>
      </w:pPr>
      <w:r>
        <w:t>4. Преференциальное</w:t>
      </w:r>
    </w:p>
    <w:p>
      <w:pPr>
        <w:widowControl/>
        <w:spacing w:after="160" w:before="0" w:line="276" w:lineRule="auto"/>
        <w:ind w:firstLine="0"/>
        <w:jc w:val="both"/>
      </w:pPr>
      <w:r>
        <w:t>кредитование: - Предварительно утвержден преференциальный процент кредитования в размере 7,5% в Россельхозбанке.</w:t>
      </w:r>
    </w:p>
    <w:p>
      <w:pPr>
        <w:pStyle w:val="Heading2"/>
        <w:keepNext/>
        <w:spacing w:before="280" w:after="160"/>
        <w:jc w:val="left"/>
      </w:pPr>
      <w:r>
        <w:t>5. График</w:t>
      </w:r>
    </w:p>
    <w:p>
      <w:pPr>
        <w:widowControl/>
        <w:spacing w:after="160" w:before="0" w:line="276" w:lineRule="auto"/>
        <w:ind w:firstLine="0"/>
        <w:jc w:val="both"/>
      </w:pPr>
      <w:r>
        <w:t>завершения: - Для полного завершения проекта требуется 130-150 миллионов рублей (для завершения строительных работ и приобретения оборудования в рамках существующего проекта). - Дата завершения проекта: 6 месяцев работы. - Первая партия RPM может быть получена уже осенью 2025 года.</w:t>
      </w:r>
    </w:p>
    <w:p>
      <w:pPr>
        <w:widowControl/>
        <w:spacing w:after="160" w:before="0" w:line="276" w:lineRule="auto"/>
        <w:ind w:firstLine="0"/>
        <w:jc w:val="both"/>
      </w:pPr>
      <w:r>
        <w:t>Елена Александровна Ханенко - высококвалифицированный рыбовод с более чем 10-летним опытом.</w:t>
      </w:r>
    </w:p>
    <w:p>
      <w:pPr>
        <w:pStyle w:val="Heading2"/>
        <w:keepNext/>
        <w:spacing w:before="280" w:after="160"/>
        <w:jc w:val="left"/>
      </w:pPr>
      <w:r>
        <w:t>Готовность к сделке - Количество фактических участников: • ООО "Кидсити" является 100% физическим лицом. • ООО "ЮНР-90" - 100% физическое лицо. - Правовая и финансовая чистота</w:t>
      </w:r>
    </w:p>
    <w:p>
      <w:pPr>
        <w:pStyle w:val="ListBullet"/>
        <w:jc w:val="left"/>
      </w:pPr>
      <w:r>
        <w:rPr>
          <w:b w:val="0"/>
        </w:rPr>
        <w:t>Требования налоговых органов: Никаких. • Требования по договорным обязательствам: Никаких. • Заплачиваемые счета: Никаких.</w:t>
      </w:r>
    </w:p>
    <w:p>
      <w:pPr>
        <w:pStyle w:val="Heading2"/>
        <w:keepNext/>
        <w:spacing w:before="280" w:after="160"/>
        <w:jc w:val="left"/>
      </w:pPr>
      <w:r>
        <w:t>Условия продажи</w:t>
      </w:r>
    </w:p>
    <w:p>
      <w:pPr>
        <w:pStyle w:val="ListBullet"/>
        <w:jc w:val="left"/>
      </w:pPr>
      <w:r>
        <w:rPr>
          <w:b w:val="0"/>
        </w:rPr>
        <w:t>Первоначальная стоимость проекта составляет 200 миллионов рублей - Продажа 100% акций OOO Kidcity и 100% акций OOO UNR-90 новому покупателю - Любая форма оплаты возможна, предпочтительной формой оплаты является кредитное письмо.</w:t>
      </w:r>
    </w:p>
    <w:p>
      <w:pPr>
        <w:pStyle w:val="Heading2"/>
        <w:keepNext/>
        <w:spacing w:before="280" w:after="160"/>
        <w:jc w:val="left"/>
      </w:pPr>
      <w:r>
        <w:t>Преимущества инвестиций 1.Снижение затрат на производство: - Наличие собственного инкубационного и селекционного комплекса (HBC) позволяет нам значительно снизить затраты на выращивание коммерческих рыб, повышая рентабельность и конкурентоспособность бизнеса.</w:t>
      </w:r>
    </w:p>
    <w:p>
      <w:r>
        <w:br w:type="page"/>
      </w:r>
    </w:p>
    <w:p>
      <w:pPr>
        <w:pStyle w:val="Heading2"/>
        <w:keepNext/>
        <w:spacing w:before="280" w:after="160"/>
        <w:jc w:val="left"/>
      </w:pPr>
      <w:r>
        <w:t>2. Высококачественные</w:t>
      </w:r>
    </w:p>
    <w:p>
      <w:pPr>
        <w:widowControl/>
        <w:spacing w:after="160" w:before="0" w:line="276" w:lineRule="auto"/>
        <w:ind w:firstLine="0"/>
        <w:jc w:val="both"/>
      </w:pPr>
      <w:r>
        <w:t>продукты: - Использование СПКР, которые используются специализированными кормом и качественными яйцами. - Подтверждены уже подписанными письмами о намерениях для будущих поставок.</w:t>
      </w:r>
    </w:p>
    <w:p>
      <w:pPr>
        <w:pStyle w:val="Heading2"/>
        <w:keepNext/>
        <w:spacing w:before="280" w:after="160"/>
        <w:jc w:val="left"/>
      </w:pPr>
      <w:r>
        <w:t>3. Готовая инфраструктура и</w:t>
      </w:r>
    </w:p>
    <w:p>
      <w:pPr>
        <w:widowControl/>
        <w:spacing w:after="160" w:before="0" w:line="276" w:lineRule="auto"/>
        <w:ind w:firstLine="0"/>
        <w:jc w:val="both"/>
      </w:pPr>
      <w:r>
        <w:t>команда: - Большая часть строительных работ уже завершена. - Опытная команда специалистов обеспечивает стабильность и эффективность производственных процессов.</w:t>
      </w:r>
    </w:p>
    <w:p>
      <w:pPr>
        <w:pStyle w:val="Heading2"/>
        <w:keepNext/>
        <w:spacing w:before="280" w:after="160"/>
        <w:jc w:val="left"/>
      </w:pPr>
      <w:r>
        <w:t>4. Государственная</w:t>
      </w:r>
    </w:p>
    <w:p>
      <w:pPr>
        <w:widowControl/>
        <w:spacing w:after="160" w:before="0" w:line="276" w:lineRule="auto"/>
        <w:ind w:firstLine="0"/>
        <w:jc w:val="both"/>
      </w:pPr>
      <w:r>
        <w:t>поддержка: - возможности субсидирования до 40% капитальных затрат. - Преференциальное кредитование на уровне 7,5% значительно снижает финансовую нагрузку.</w:t>
      </w:r>
    </w:p>
    <w:p>
      <w:pPr>
        <w:pStyle w:val="Heading2"/>
        <w:keepNext/>
        <w:spacing w:before="280" w:after="160"/>
        <w:jc w:val="left"/>
      </w:pPr>
      <w:r>
        <w:t>5. Контроль</w:t>
      </w:r>
    </w:p>
    <w:p>
      <w:pPr>
        <w:widowControl/>
        <w:spacing w:after="160" w:before="0" w:line="276" w:lineRule="auto"/>
        <w:ind w:firstLine="0"/>
        <w:jc w:val="both"/>
      </w:pPr>
      <w:r>
        <w:t>проекта: - Использование собственного подрядчика позволяет инвестору влиять на оценки проекта, минимизируя риски и повышая эффективность управления.</w:t>
      </w:r>
    </w:p>
    <w:p>
      <w:pPr>
        <w:pStyle w:val="Heading2"/>
        <w:keepNext/>
        <w:spacing w:before="280" w:after="160"/>
        <w:jc w:val="left"/>
      </w:pPr>
      <w:r>
        <w:t>6. Быстрый срок выхода на</w:t>
      </w:r>
    </w:p>
    <w:p>
      <w:pPr>
        <w:widowControl/>
        <w:spacing w:after="160" w:before="0" w:line="276" w:lineRule="auto"/>
        <w:ind w:firstLine="0"/>
        <w:jc w:val="both"/>
      </w:pPr>
      <w:r>
        <w:t>рынок: - Возможность получения первой партии РПМ уже осенью 2025 года позволяет нам быстро начать генерировать доходы и укреплять свою рыночную позицию. Чтобы продемонстрировать экономическую эффективность проекта, мы предлагаем рассмотреть пример расчета ИПК как самостоятельного предприятия, так и в рамках рыбоводческого предприятия, занимающегося производством коммерческого форела.</w:t>
      </w:r>
    </w:p>
    <w:p>
      <w:pPr>
        <w:pStyle w:val="ListNumber"/>
        <w:jc w:val="left"/>
      </w:pPr>
      <w:r>
        <w:rPr>
          <w:b w:val="0"/>
        </w:rPr>
        <w:t>основа для расчета: прогнозы производства и продаж Отдельное предприятие В составе группы компаний Объем производства (с учетом сокращения количества птиц во время выращивания на ~33%), в том числе 4 020 000 Дальнейшее выращивание, 0 1 000 000 pcs Количество продаж на рынок, 4 020 000 pcs 3 020 000 Продажная цена, RUB/piece 49 1. Основа для расчета: затраты на производство Количество, штук/кг Цена на 1 единицу Общая стоимость, тыс. руб. Приобретение кавиара, штук 6 000 000 2,4 14 400 Кормовая продукция, кг 120 600 409 49 325 Дополнительные затраты, на 1 штук 10 40 200 Стоимость выращивания 25,85 103 925 Общая стоимость: оценка эффекта реализации Отдельное предприятие В составе группы Расходы, тысяча рублей 103 925 Валовой доход, 196 980 147 980 Прибыль от операций, 93 055 44 055 47 % 30 % Это позволит оценить ожидаемые финансовые результаты и убедиться, что инвестиции являются привлекательными. Следует отметить, что данный расчет производится для рыночных продаж, не принимая во внимание субсидии на покупку кормов, которые составляют основную часть расходов.</w:t>
      </w:r>
    </w:p>
    <w:p>
      <w:r>
        <w:br w:type="page"/>
      </w:r>
    </w:p>
    <w:p>
      <w:pPr>
        <w:widowControl/>
        <w:spacing w:after="160" w:before="0" w:line="276" w:lineRule="auto"/>
        <w:ind w:firstLine="0"/>
        <w:jc w:val="both"/>
      </w:pPr>
      <w:r>
        <w:t>Очень важно следить за происхождением РПМ и знать, какие кормления и яйца использовались в его выращивании, поскольку это влияет на темпы роста и выживаемость рыбы.</w:t>
      </w:r>
    </w:p>
    <w:p>
      <w:pPr>
        <w:widowControl/>
        <w:spacing w:after="160" w:before="0" w:line="276" w:lineRule="auto"/>
        <w:ind w:firstLine="0"/>
        <w:jc w:val="both"/>
      </w:pPr>
      <w:r>
        <w:t>Строгий контроль экологических параметров способствует стабильному росту рыб и, что самое главное, снижает риск заболевания.</w:t>
      </w:r>
    </w:p>
    <w:p>
      <w:pPr>
        <w:widowControl/>
        <w:spacing w:after="160" w:before="0" w:line="276" w:lineRule="auto"/>
        <w:ind w:firstLine="0"/>
        <w:jc w:val="both"/>
      </w:pPr>
      <w:r>
        <w:t>В отличие от открытых прудов, где рыбы подвержены болезням и паразитам, РОМ обеспечивают контролируемую и безопасную среду для выращивания РПМ.</w:t>
      </w:r>
    </w:p>
    <w:p>
      <w:pPr>
        <w:widowControl/>
        <w:spacing w:after="160" w:before="0" w:line="276" w:lineRule="auto"/>
        <w:ind w:firstLine="0"/>
        <w:jc w:val="both"/>
      </w:pPr>
      <w:r>
        <w:t>1.Основа для расчета: параметры производственного цикла Параметры двухлетнего производственного цикла Первоначальное количество фри, 1 000 000 штук Окончательное количество, 707 200 штук Смертность фри в сезон, % 29,28 % Первоначальное вес фри, кг 0,02 Окончательное вес фри, кг 1,8 Их общая масса, кг 1 272 960 Утраты от кишечника (15%), кг 190 944 производство кавияра (10%), кг 108 202 2 База для расчета: затраты на корм Количество, штук/кг Цена на 1 единицу Общая сумма, тысяча рублей Корм, кг 1 940 460 209 405 556 Субсидии на корм (15%), рубли тс. 60 833 Общая сумма: оценка эффекта реализации Закупки от сторонних поставщиков CPI в рамках группы компаний Стоимость фри краски/часть 49 26 Стоимость покупки фри краски, РУБ. 49 000 26 000 С/с сырье 393 723 370 723 Продажа кавияра, 400 000 руб. Продажа рыбы, 495 000 руб. Валовой доход, 895 000 руб. 1 042 980 Операционная прибыль, 501 277 672 257 56 % 64 % Заключение</w:t>
      </w:r>
    </w:p>
    <w:p>
      <w:pPr>
        <w:pStyle w:val="Heading2"/>
        <w:keepNext/>
        <w:spacing w:before="280" w:after="160"/>
        <w:jc w:val="left"/>
      </w:pPr>
      <w:r>
        <w:t>Эти расчеты являются предварительными и совокупными, прибыль зависит от маркетинговой стратегии и политики компании.</w:t>
      </w:r>
    </w:p>
    <w:p>
      <w:r>
        <w:br w:type="page"/>
      </w:r>
    </w:p>
    <w:p>
      <w:pPr>
        <w:widowControl/>
        <w:spacing w:after="160" w:before="0" w:line="276" w:lineRule="auto"/>
        <w:ind w:firstLine="0"/>
        <w:jc w:val="both"/>
      </w:pPr>
      <w:r>
        <w:t>Проект Fry City направлен на создание крупнейшего в Ленинградской области инкубационного комплекса для выращивания рыжий тростника.</w:t>
      </w:r>
    </w:p>
    <w:p>
      <w:pPr>
        <w:widowControl/>
        <w:spacing w:after="160" w:before="0" w:line="276" w:lineRule="auto"/>
        <w:ind w:firstLine="0"/>
        <w:jc w:val="both"/>
      </w:pPr>
      <w:r>
        <w:t>Несмотря на то, что здесь вырабатывается 90 процентов тростника, в регионе не хватает собственного посадочного материала. Это приводит к необходимости приобретать РПМ из других регионов, что значительно увеличивает затраты на производство, а также несет дополнительные риски как во время транспортировки, так и во время последующего выращивания, поскольку рыбы испытывают огромный стресс во время транспортировки.</w:t>
      </w:r>
    </w:p>
    <w:p>
      <w:pPr>
        <w:widowControl/>
        <w:spacing w:after="160" w:before="0" w:line="276" w:lineRule="auto"/>
        <w:ind w:firstLine="0"/>
        <w:jc w:val="both"/>
      </w:pPr>
      <w:r>
        <w:t>Цель проекта - локализовать производство рыбных материалов, сократить зависимость от внешних поставок и создать новые рабочие места, что вместе повысит продовольственную безопасность и укрепит экономическое здоровье региона.</w:t>
      </w:r>
    </w:p>
    <w:p>
      <w:pPr>
        <w:widowControl/>
        <w:spacing w:after="160" w:before="0" w:line="276" w:lineRule="auto"/>
        <w:ind w:firstLine="0"/>
        <w:jc w:val="both"/>
      </w:pPr>
      <w:r>
        <w:t>Наличие готовой инфраструктуры, профессиональной команды и внутренней организации заказчиков гарантирует эффективное управление проектами и быстрый доступ к рынку.</w:t>
      </w:r>
    </w:p>
    <w:p>
      <w:pPr>
        <w:widowControl/>
        <w:spacing w:after="160" w:before="0" w:line="276" w:lineRule="auto"/>
        <w:ind w:firstLine="0"/>
        <w:jc w:val="both"/>
      </w:pPr>
      <w:r>
        <w:t>Кроме того, использование КПИ в инфраструктуре компании, занимающейся производством коммерческого форела для последующего выращивания коммерческой рыбы и кавияра, позволит сэкономить около 25 миллионов рублей в год, исходя из потребности в материалах для выращивания рыбы в размере 1 000 000 штук. Это значительно снизит затраты и повысит рентабельность текущих объемов производства.</w:t>
      </w:r>
    </w:p>
    <w:p>
      <w:pPr>
        <w:widowControl/>
        <w:spacing w:after="160" w:before="0" w:line="276" w:lineRule="auto"/>
        <w:ind w:firstLine="0"/>
        <w:jc w:val="both"/>
      </w:pPr>
      <w:r>
        <w:t>Кроме того, возможность получения государственной компенсации в размере 40% капитальных затрат и значительное сокращение эксплуатационных затрат в аквакультуре ускорит срок возврата проекта.</w:t>
      </w:r>
    </w:p>
    <w:p>
      <w:pPr>
        <w:widowControl/>
        <w:spacing w:after="160" w:before="0" w:line="276" w:lineRule="auto"/>
        <w:ind w:firstLine="0"/>
        <w:jc w:val="both"/>
      </w:pPr>
      <w:r>
        <w:t>По запросу мы готовы предоставить всю необходимую для оценки сделки документацию.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