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18212F"/>
          <w:sz w:val="48"/>
        </w:rPr>
        <w:t>Reqover 결과보고서 초안</w:t>
      </w:r>
    </w:p>
    <w:p>
      <w:r>
        <w:rPr>
          <w:i/>
        </w:rPr>
        <w:t>요청 단위 코드 커버리지 귀속 도구</w:t>
      </w:r>
    </w:p>
    <w:tbl>
      <w:tblPr>
        <w:tblStyle w:val="TableGrid"/>
        <w:tblW w:type="auto" w:w="0"/>
        <w:jc w:val="center"/>
        <w:tblLayout w:type="fixed"/>
        <w:tblLook w:firstColumn="1" w:firstRow="1" w:lastColumn="0" w:lastRow="0" w:noHBand="0" w:noVBand="1" w:val="04A0"/>
      </w:tblPr>
      <w:tblGrid>
        <w:gridCol w:w="2376"/>
        <w:gridCol w:w="6984"/>
      </w:tblGrid>
      <w:tr>
        <w:tc>
          <w:tcPr>
            <w:tcW w:type="dxa" w:w="4680"/>
            <w:vAlign w:val="center"/>
            <w:shd w:fill="F2F4F7"/>
          </w:tcPr>
          <w:p>
            <w:r/>
            <w:r>
              <w:rPr>
                <w:rFonts w:ascii="Calibri" w:hAnsi="Calibri"/>
                <w:b/>
                <w:sz w:val="20"/>
              </w:rPr>
              <w:t>항목</w:t>
            </w:r>
          </w:p>
        </w:tc>
        <w:tc>
          <w:tcPr>
            <w:tcW w:type="dxa" w:w="4680"/>
            <w:vAlign w:val="center"/>
            <w:shd w:fill="F2F4F7"/>
          </w:tcPr>
          <w:p>
            <w:r/>
            <w:r>
              <w:rPr>
                <w:rFonts w:ascii="Calibri" w:hAnsi="Calibri"/>
                <w:b/>
                <w:sz w:val="20"/>
              </w:rPr>
              <w:t>내용</w:t>
            </w:r>
          </w:p>
        </w:tc>
      </w:tr>
      <w:tr>
        <w:tc>
          <w:tcPr>
            <w:tcW w:type="dxa" w:w="2376"/>
            <w:vAlign w:val="center"/>
          </w:tcPr>
          <w:p>
            <w:r/>
            <w:r>
              <w:rPr>
                <w:rFonts w:ascii="Calibri" w:hAnsi="Calibri"/>
                <w:b/>
                <w:sz w:val="20"/>
              </w:rPr>
              <w:t>프로젝트명</w:t>
            </w:r>
          </w:p>
        </w:tc>
        <w:tc>
          <w:tcPr>
            <w:tcW w:type="dxa" w:w="6984"/>
            <w:vAlign w:val="center"/>
          </w:tcPr>
          <w:p>
            <w:r/>
            <w:r>
              <w:rPr>
                <w:rFonts w:ascii="Calibri" w:hAnsi="Calibri"/>
                <w:b w:val="0"/>
                <w:sz w:val="20"/>
              </w:rPr>
              <w:t>Reqover</w:t>
            </w:r>
          </w:p>
        </w:tc>
      </w:tr>
      <w:tr>
        <w:tc>
          <w:tcPr>
            <w:tcW w:type="dxa" w:w="2376"/>
            <w:vAlign w:val="center"/>
          </w:tcPr>
          <w:p>
            <w:r/>
            <w:r>
              <w:rPr>
                <w:rFonts w:ascii="Calibri" w:hAnsi="Calibri"/>
                <w:b/>
                <w:sz w:val="20"/>
              </w:rPr>
              <w:t>저장소</w:t>
            </w:r>
          </w:p>
        </w:tc>
        <w:tc>
          <w:tcPr>
            <w:tcW w:type="dxa" w:w="6984"/>
            <w:vAlign w:val="center"/>
          </w:tcPr>
          <w:p>
            <w:r/>
            <w:r>
              <w:rPr>
                <w:rFonts w:ascii="Calibri" w:hAnsi="Calibri"/>
                <w:b w:val="0"/>
                <w:sz w:val="20"/>
              </w:rPr>
              <w:t>https://github.com/Open-Source-Competition/Reqover</w:t>
            </w:r>
          </w:p>
        </w:tc>
      </w:tr>
      <w:tr>
        <w:tc>
          <w:tcPr>
            <w:tcW w:type="dxa" w:w="2376"/>
            <w:vAlign w:val="center"/>
          </w:tcPr>
          <w:p>
            <w:r/>
            <w:r>
              <w:rPr>
                <w:rFonts w:ascii="Calibri" w:hAnsi="Calibri"/>
                <w:b/>
                <w:sz w:val="20"/>
              </w:rPr>
              <w:t>팀명</w:t>
            </w:r>
          </w:p>
        </w:tc>
        <w:tc>
          <w:tcPr>
            <w:tcW w:type="dxa" w:w="6984"/>
            <w:vAlign w:val="center"/>
          </w:tcPr>
          <w:p>
            <w:r/>
            <w:r>
              <w:rPr>
                <w:rFonts w:ascii="Calibri" w:hAnsi="Calibri"/>
                <w:b w:val="0"/>
                <w:sz w:val="20"/>
              </w:rPr>
              <w:t>&lt;팀명 입력&gt;</w:t>
            </w:r>
          </w:p>
        </w:tc>
      </w:tr>
      <w:tr>
        <w:tc>
          <w:tcPr>
            <w:tcW w:type="dxa" w:w="2376"/>
            <w:vAlign w:val="center"/>
          </w:tcPr>
          <w:p>
            <w:r/>
            <w:r>
              <w:rPr>
                <w:rFonts w:ascii="Calibri" w:hAnsi="Calibri"/>
                <w:b/>
                <w:sz w:val="20"/>
              </w:rPr>
              <w:t>접수번호</w:t>
            </w:r>
          </w:p>
        </w:tc>
        <w:tc>
          <w:tcPr>
            <w:tcW w:type="dxa" w:w="6984"/>
            <w:vAlign w:val="center"/>
          </w:tcPr>
          <w:p>
            <w:r/>
            <w:r>
              <w:rPr>
                <w:rFonts w:ascii="Calibri" w:hAnsi="Calibri"/>
                <w:b w:val="0"/>
                <w:sz w:val="20"/>
              </w:rPr>
              <w:t>&lt;접수번호 입력&gt;</w:t>
            </w:r>
          </w:p>
        </w:tc>
      </w:tr>
      <w:tr>
        <w:tc>
          <w:tcPr>
            <w:tcW w:type="dxa" w:w="2376"/>
            <w:vAlign w:val="center"/>
          </w:tcPr>
          <w:p>
            <w:r/>
            <w:r>
              <w:rPr>
                <w:rFonts w:ascii="Calibri" w:hAnsi="Calibri"/>
                <w:b/>
                <w:sz w:val="20"/>
              </w:rPr>
              <w:t>시연영상</w:t>
            </w:r>
          </w:p>
        </w:tc>
        <w:tc>
          <w:tcPr>
            <w:tcW w:type="dxa" w:w="6984"/>
            <w:vAlign w:val="center"/>
          </w:tcPr>
          <w:p>
            <w:r/>
            <w:r>
              <w:rPr>
                <w:rFonts w:ascii="Calibri" w:hAnsi="Calibri"/>
                <w:b w:val="0"/>
                <w:sz w:val="20"/>
              </w:rPr>
              <w:t>&lt;YouTube URL 입력&gt;</w:t>
            </w:r>
          </w:p>
        </w:tc>
      </w:tr>
    </w:tbl>
    <w:p/>
    <w:p>
      <w:pPr>
        <w:pStyle w:val="Heading1"/>
        <w:keepNext/>
      </w:pPr>
      <w:r>
        <w:t>1. 프로젝트 개요</w:t>
      </w:r>
    </w:p>
    <w:p>
      <w:r>
        <w:t>Reqover는 Java/Spring 애플리케이션에서 발생한 coverage hit을 개별 HTTP 요청과 endpoint 단위로 귀속하는 개발자 도구이다. 기존 coverage 도구가 코드 실행 여부를 전역 기준으로 보여준다면, Reqover는 어떤 API 요청이 어떤 코드 경로를 실행했는지를 보여준다.</w:t>
      </w:r>
    </w:p>
    <w:p>
      <w:r>
        <w:t>MVP는 Spring MVC와 Spring WebFlux를 대상으로 하며, Java agent 기반 method-entry instrumentation, 요청별 coverage bucket, JSON/HTML 리포트, code-to-endpoint 역조회 기능을 포함한다.</w:t>
      </w:r>
    </w:p>
    <w:p>
      <w:pPr>
        <w:pStyle w:val="Heading1"/>
        <w:keepNext/>
      </w:pPr>
      <w:r>
        <w:t>2. 개발 배경과 문제 정의</w:t>
      </w:r>
    </w:p>
    <w:p>
      <w:r>
        <w:t>백엔드 서비스는 여러 endpoint가 service, validator, mapper, utility 코드를 공유한다. 특정 메서드를 수정했을 때 어떤 API를 우선 재테스트해야 하는지 판단하기 어렵다.</w:t>
      </w:r>
    </w:p>
    <w:p>
      <w:r>
        <w:t>Reqover는 이 문제를 정적 추측이 아니라 실제 실행 관측 데이터로 좁히는 것을 목표로 한다.</w:t>
      </w:r>
    </w:p>
    <w:p>
      <w:pPr>
        <w:pStyle w:val="Heading1"/>
        <w:keepNext/>
      </w:pPr>
      <w:r>
        <w:t>3. 주요 기능</w:t>
      </w:r>
    </w:p>
    <w:p>
      <w:pPr>
        <w:pStyle w:val="ListBullet"/>
      </w:pPr>
      <w:r>
        <w:t>HTTP 요청마다 coverage bucket을 생성하고 probe hit을 해당 bucket에 기록</w:t>
      </w:r>
    </w:p>
    <w:p>
      <w:pPr>
        <w:pStyle w:val="ListBullet"/>
      </w:pPr>
      <w:r>
        <w:t>Spring MVC interceptor로 endpoint pattern과 request lifecycle 관리</w:t>
      </w:r>
    </w:p>
    <w:p>
      <w:pPr>
        <w:pStyle w:val="ListBullet"/>
      </w:pPr>
      <w:r>
        <w:t>Spring WebFlux Reactor Context와 Micrometer Context Propagation을 이용한 thread-hop 귀속 유지</w:t>
      </w:r>
    </w:p>
    <w:p>
      <w:pPr>
        <w:pStyle w:val="ListBullet"/>
      </w:pPr>
      <w:r>
        <w:t>ASM 기반 Java agent로 애플리케이션 클래스 method entry에 probe 삽입</w:t>
      </w:r>
    </w:p>
    <w:p>
      <w:pPr>
        <w:pStyle w:val="ListBullet"/>
      </w:pPr>
      <w:r>
        <w:t>endpoint-to-code 리포트와 code-to-endpoint 영향 범위 역조회 제공</w:t>
      </w:r>
    </w:p>
    <w:p>
      <w:pPr>
        <w:pStyle w:val="ListBullet"/>
      </w:pPr>
      <w:r>
        <w:t>CycloneDX 1.6 JSON SBOM 생성 task 제공</w:t>
      </w:r>
    </w:p>
    <w:p>
      <w:pPr>
        <w:pStyle w:val="Heading1"/>
        <w:keepNext/>
      </w:pPr>
      <w:r>
        <w:t>4. 아키텍처</w:t>
      </w:r>
    </w:p>
    <w:p>
      <w:pPr>
        <w:pStyle w:val="ListNumber"/>
      </w:pPr>
      <w:r>
        <w:t>HTTP 요청이 Spring MVC interceptor 또는 WebFlux filter에 진입한다.</w:t>
      </w:r>
    </w:p>
    <w:p>
      <w:pPr>
        <w:pStyle w:val="ListNumber"/>
      </w:pPr>
      <w:r>
        <w:t>Reqover가 request id와 endpoint 정보를 가진 coverage bucket을 생성한다.</w:t>
      </w:r>
    </w:p>
    <w:p>
      <w:pPr>
        <w:pStyle w:val="ListNumber"/>
      </w:pPr>
      <w:r>
        <w:t>Java agent가 삽입한 ReqoverProbe.hit(classId, probeId)가 메서드 진입 시 호출된다.</w:t>
      </w:r>
    </w:p>
    <w:p>
      <w:pPr>
        <w:pStyle w:val="ListNumber"/>
      </w:pPr>
      <w:r>
        <w:t>ReqoverProbe는 현재 요청 context를 찾아 해당 bucket에 hit을 기록한다.</w:t>
      </w:r>
    </w:p>
    <w:p>
      <w:pPr>
        <w:pStyle w:val="ListNumber"/>
      </w:pPr>
      <w:r>
        <w:t>요청 종료 시 bucket snapshot이 in-memory store에 저장된다.</w:t>
      </w:r>
    </w:p>
    <w:p>
      <w:pPr>
        <w:pStyle w:val="ListNumber"/>
      </w:pPr>
      <w:r>
        <w:t>report module이 endpoint 기준으로 coverage와 reverse index를 집계한다.</w:t>
      </w:r>
    </w:p>
    <w:p>
      <w:pPr>
        <w:pStyle w:val="Heading1"/>
        <w:keepNext/>
      </w:pPr>
      <w:r>
        <w:t>5. 검증 결과</w:t>
      </w:r>
    </w:p>
    <w:p>
      <w:pPr>
        <w:pStyle w:val="ListBullet"/>
      </w:pPr>
      <w:r>
        <w:t>.\gradlew.bat test 통과</w:t>
      </w:r>
    </w:p>
    <w:p>
      <w:pPr>
        <w:pStyle w:val="ListBullet"/>
      </w:pPr>
      <w:r>
        <w:t>.\gradlew.bat build --quiet 통과</w:t>
      </w:r>
    </w:p>
    <w:p>
      <w:pPr>
        <w:pStyle w:val="ListBullet"/>
      </w:pPr>
      <w:r>
        <w:t>.\gradlew.bat cyclonedxBom 통과</w:t>
      </w:r>
    </w:p>
    <w:p>
      <w:pPr>
        <w:pStyle w:val="ListBullet"/>
      </w:pPr>
      <w:r>
        <w:t>MVC agent E2E: 수동 probe 없는 endpoint가 자동 계측되어 report에 표시됨</w:t>
      </w:r>
    </w:p>
    <w:p>
      <w:pPr>
        <w:pStyle w:val="ListBullet"/>
      </w:pPr>
      <w:r>
        <w:t>WebFlux agent E2E: boundedElastic, parallel, reactor-http-nio thread hop 이후에도 같은 endpoint bucket에 귀속됨</w:t>
      </w:r>
    </w:p>
    <w:p>
      <w:r>
        <w:t>로컬 WebFlux 순차 요청 성능 참고값:</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F2F4F7"/>
          </w:tcPr>
          <w:p>
            <w:r/>
            <w:r>
              <w:rPr>
                <w:rFonts w:ascii="Calibri" w:hAnsi="Calibri"/>
                <w:b/>
                <w:sz w:val="20"/>
              </w:rPr>
              <w:t>모드</w:t>
            </w:r>
          </w:p>
        </w:tc>
        <w:tc>
          <w:tcPr>
            <w:tcW w:type="dxa" w:w="1872"/>
            <w:vAlign w:val="center"/>
            <w:shd w:fill="F2F4F7"/>
          </w:tcPr>
          <w:p>
            <w:r/>
            <w:r>
              <w:rPr>
                <w:rFonts w:ascii="Calibri" w:hAnsi="Calibri"/>
                <w:b/>
                <w:sz w:val="20"/>
              </w:rPr>
              <w:t>Average ms</w:t>
            </w:r>
          </w:p>
        </w:tc>
        <w:tc>
          <w:tcPr>
            <w:tcW w:type="dxa" w:w="1872"/>
            <w:vAlign w:val="center"/>
            <w:shd w:fill="F2F4F7"/>
          </w:tcPr>
          <w:p>
            <w:r/>
            <w:r>
              <w:rPr>
                <w:rFonts w:ascii="Calibri" w:hAnsi="Calibri"/>
                <w:b/>
                <w:sz w:val="20"/>
              </w:rPr>
              <w:t>p50 ms</w:t>
            </w:r>
          </w:p>
        </w:tc>
        <w:tc>
          <w:tcPr>
            <w:tcW w:type="dxa" w:w="1872"/>
            <w:vAlign w:val="center"/>
            <w:shd w:fill="F2F4F7"/>
          </w:tcPr>
          <w:p>
            <w:r/>
            <w:r>
              <w:rPr>
                <w:rFonts w:ascii="Calibri" w:hAnsi="Calibri"/>
                <w:b/>
                <w:sz w:val="20"/>
              </w:rPr>
              <w:t>p95 ms</w:t>
            </w:r>
          </w:p>
        </w:tc>
        <w:tc>
          <w:tcPr>
            <w:tcW w:type="dxa" w:w="1872"/>
            <w:vAlign w:val="center"/>
            <w:shd w:fill="F2F4F7"/>
          </w:tcPr>
          <w:p>
            <w:r/>
            <w:r>
              <w:rPr>
                <w:rFonts w:ascii="Calibri" w:hAnsi="Calibri"/>
                <w:b/>
                <w:sz w:val="20"/>
              </w:rPr>
              <w:t>p99 ms</w:t>
            </w:r>
          </w:p>
        </w:tc>
      </w:tr>
      <w:tr>
        <w:tc>
          <w:tcPr>
            <w:tcW w:type="dxa" w:w="1872"/>
            <w:vAlign w:val="center"/>
          </w:tcPr>
          <w:p>
            <w:r/>
            <w:r>
              <w:rPr>
                <w:rFonts w:ascii="Calibri" w:hAnsi="Calibri"/>
                <w:b/>
                <w:sz w:val="20"/>
              </w:rPr>
              <w:t>Baseline, no agent</w:t>
            </w:r>
          </w:p>
        </w:tc>
        <w:tc>
          <w:tcPr>
            <w:tcW w:type="dxa" w:w="1872"/>
            <w:vAlign w:val="center"/>
          </w:tcPr>
          <w:p>
            <w:r/>
            <w:r>
              <w:rPr>
                <w:rFonts w:ascii="Calibri" w:hAnsi="Calibri"/>
                <w:b w:val="0"/>
                <w:sz w:val="20"/>
              </w:rPr>
              <w:t>18.58</w:t>
            </w:r>
          </w:p>
        </w:tc>
        <w:tc>
          <w:tcPr>
            <w:tcW w:type="dxa" w:w="1872"/>
            <w:vAlign w:val="center"/>
          </w:tcPr>
          <w:p>
            <w:r/>
            <w:r>
              <w:rPr>
                <w:rFonts w:ascii="Calibri" w:hAnsi="Calibri"/>
                <w:b w:val="0"/>
                <w:sz w:val="20"/>
              </w:rPr>
              <w:t>17.88</w:t>
            </w:r>
          </w:p>
        </w:tc>
        <w:tc>
          <w:tcPr>
            <w:tcW w:type="dxa" w:w="1872"/>
            <w:vAlign w:val="center"/>
          </w:tcPr>
          <w:p>
            <w:r/>
            <w:r>
              <w:rPr>
                <w:rFonts w:ascii="Calibri" w:hAnsi="Calibri"/>
                <w:b w:val="0"/>
                <w:sz w:val="20"/>
              </w:rPr>
              <w:t>26.77</w:t>
            </w:r>
          </w:p>
        </w:tc>
        <w:tc>
          <w:tcPr>
            <w:tcW w:type="dxa" w:w="1872"/>
            <w:vAlign w:val="center"/>
          </w:tcPr>
          <w:p>
            <w:r/>
            <w:r>
              <w:rPr>
                <w:rFonts w:ascii="Calibri" w:hAnsi="Calibri"/>
                <w:b w:val="0"/>
                <w:sz w:val="20"/>
              </w:rPr>
              <w:t>31.44</w:t>
            </w:r>
          </w:p>
        </w:tc>
      </w:tr>
      <w:tr>
        <w:tc>
          <w:tcPr>
            <w:tcW w:type="dxa" w:w="1872"/>
            <w:vAlign w:val="center"/>
          </w:tcPr>
          <w:p>
            <w:r/>
            <w:r>
              <w:rPr>
                <w:rFonts w:ascii="Calibri" w:hAnsi="Calibri"/>
                <w:b/>
                <w:sz w:val="20"/>
              </w:rPr>
              <w:t>Reqover agent enabled</w:t>
            </w:r>
          </w:p>
        </w:tc>
        <w:tc>
          <w:tcPr>
            <w:tcW w:type="dxa" w:w="1872"/>
            <w:vAlign w:val="center"/>
          </w:tcPr>
          <w:p>
            <w:r/>
            <w:r>
              <w:rPr>
                <w:rFonts w:ascii="Calibri" w:hAnsi="Calibri"/>
                <w:b w:val="0"/>
                <w:sz w:val="20"/>
              </w:rPr>
              <w:t>21.57</w:t>
            </w:r>
          </w:p>
        </w:tc>
        <w:tc>
          <w:tcPr>
            <w:tcW w:type="dxa" w:w="1872"/>
            <w:vAlign w:val="center"/>
          </w:tcPr>
          <w:p>
            <w:r/>
            <w:r>
              <w:rPr>
                <w:rFonts w:ascii="Calibri" w:hAnsi="Calibri"/>
                <w:b w:val="0"/>
                <w:sz w:val="20"/>
              </w:rPr>
              <w:t>18.15</w:t>
            </w:r>
          </w:p>
        </w:tc>
        <w:tc>
          <w:tcPr>
            <w:tcW w:type="dxa" w:w="1872"/>
            <w:vAlign w:val="center"/>
          </w:tcPr>
          <w:p>
            <w:r/>
            <w:r>
              <w:rPr>
                <w:rFonts w:ascii="Calibri" w:hAnsi="Calibri"/>
                <w:b w:val="0"/>
                <w:sz w:val="20"/>
              </w:rPr>
              <w:t>38.19</w:t>
            </w:r>
          </w:p>
        </w:tc>
        <w:tc>
          <w:tcPr>
            <w:tcW w:type="dxa" w:w="1872"/>
            <w:vAlign w:val="center"/>
          </w:tcPr>
          <w:p>
            <w:r/>
            <w:r>
              <w:rPr>
                <w:rFonts w:ascii="Calibri" w:hAnsi="Calibri"/>
                <w:b w:val="0"/>
                <w:sz w:val="20"/>
              </w:rPr>
              <w:t>61.65</w:t>
            </w:r>
          </w:p>
        </w:tc>
      </w:tr>
    </w:tbl>
    <w:p>
      <w:r>
        <w:t>위 수치는 로컬 데모 sanity check이며 production benchmark가 아니다.</w:t>
      </w:r>
    </w:p>
    <w:p>
      <w:pPr>
        <w:pStyle w:val="Heading1"/>
        <w:keepNext/>
      </w:pPr>
      <w:r>
        <w:t>6. 리포트 화면</w:t>
      </w:r>
    </w:p>
    <w:p>
      <w:r>
        <w:t>WebFlux 자동 계측 데모 리포트 예시:</w:t>
      </w:r>
    </w:p>
    <w:p>
      <w:r>
        <w:drawing>
          <wp:inline xmlns:a="http://schemas.openxmlformats.org/drawingml/2006/main" xmlns:pic="http://schemas.openxmlformats.org/drawingml/2006/picture">
            <wp:extent cx="5760720" cy="4884610"/>
            <wp:docPr id="1" name="Picture 1"/>
            <wp:cNvGraphicFramePr>
              <a:graphicFrameLocks noChangeAspect="1"/>
            </wp:cNvGraphicFramePr>
            <a:graphic>
              <a:graphicData uri="http://schemas.openxmlformats.org/drawingml/2006/picture">
                <pic:pic>
                  <pic:nvPicPr>
                    <pic:cNvPr id="0" name="reqover-webflux-report.png"/>
                    <pic:cNvPicPr/>
                  </pic:nvPicPr>
                  <pic:blipFill>
                    <a:blip r:embed="rId9"/>
                    <a:stretch>
                      <a:fillRect/>
                    </a:stretch>
                  </pic:blipFill>
                  <pic:spPr>
                    <a:xfrm>
                      <a:off x="0" y="0"/>
                      <a:ext cx="5760720" cy="4884610"/>
                    </a:xfrm>
                    <a:prstGeom prst="rect"/>
                  </pic:spPr>
                </pic:pic>
              </a:graphicData>
            </a:graphic>
          </wp:inline>
        </w:drawing>
      </w:r>
    </w:p>
    <w:p>
      <w:pPr>
        <w:pStyle w:val="Heading1"/>
        <w:keepNext/>
      </w:pPr>
      <w:r>
        <w:t>7. 오픈소스 준비 상태</w:t>
      </w:r>
    </w:p>
    <w:p>
      <w:pPr>
        <w:pStyle w:val="ListBullet"/>
      </w:pPr>
      <w:r>
        <w:t>Apache License 2.0 적용</w:t>
      </w:r>
    </w:p>
    <w:p>
      <w:pPr>
        <w:pStyle w:val="ListBullet"/>
      </w:pPr>
      <w:r>
        <w:t>THIRD_PARTY_NOTICES.md 작성</w:t>
      </w:r>
    </w:p>
    <w:p>
      <w:pPr>
        <w:pStyle w:val="ListBullet"/>
      </w:pPr>
      <w:r>
        <w:t>CONTRIBUTING.md, SECURITY.md, CODE_OF_CONDUCT.md 작성</w:t>
      </w:r>
    </w:p>
    <w:p>
      <w:pPr>
        <w:pStyle w:val="ListBullet"/>
      </w:pPr>
      <w:r>
        <w:t>GitHub issue template 3종 작성</w:t>
      </w:r>
    </w:p>
    <w:p>
      <w:pPr>
        <w:pStyle w:val="ListBullet"/>
      </w:pPr>
      <w:r>
        <w:t>GitHub Actions build workflow 구성</w:t>
      </w:r>
    </w:p>
    <w:p>
      <w:pPr>
        <w:pStyle w:val="ListBullet"/>
      </w:pPr>
      <w:r>
        <w:t>SBOM 생성 파일: build/reports/bom/reqover-sbom.json</w:t>
      </w:r>
    </w:p>
    <w:p>
      <w:pPr>
        <w:pStyle w:val="Heading1"/>
        <w:keepNext/>
      </w:pPr>
      <w:r>
        <w:t>8. 한계와 향후 계획</w:t>
      </w:r>
    </w:p>
    <w:p>
      <w:pPr>
        <w:pStyle w:val="ListBullet"/>
      </w:pPr>
      <w:r>
        <w:t>현재 coverage 정밀도는 method-entry 수준이며 JaCoCo 수준의 branch coverage는 제공하지 않음</w:t>
      </w:r>
    </w:p>
    <w:p>
      <w:pPr>
        <w:pStyle w:val="ListBullet"/>
      </w:pPr>
      <w:r>
        <w:t>저장소는 MVP 단계에서 in-memory 방식</w:t>
      </w:r>
    </w:p>
    <w:p>
      <w:pPr>
        <w:pStyle w:val="ListBullet"/>
      </w:pPr>
      <w:r>
        <w:t>report endpoint 인증, 보존 정책, 운영 배포 기능은 후속 과제</w:t>
      </w:r>
    </w:p>
    <w:p>
      <w:pPr>
        <w:pStyle w:val="ListBullet"/>
      </w:pPr>
      <w:r>
        <w:t>향후 JaCoCo XML/report 연동, Gradle/Maven plugin, persistent storage, richer report UI를 검토</w:t>
      </w:r>
    </w:p>
    <w:p>
      <w:pPr>
        <w:pStyle w:val="Heading1"/>
        <w:keepNext/>
      </w:pPr>
      <w:r>
        <w:t>9. AI 모델 활용 정보</w:t>
      </w:r>
    </w:p>
    <w:p>
      <w:r>
        <w:t>Reqover 제출 소프트웨어에는 AI 모델이 탑재되어 있지 않다. 개발 과정에서 AI 도구를 보조적으로 활용한 경우에도, 런타임 산출물에는 모델 가중치나 외부 inference API 호출이 포함되지 않는다.</w:t>
      </w:r>
    </w:p>
    <w:sectPr w:rsidR="00FC693F" w:rsidRPr="0006063C" w:rsidSect="00034616">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Reqover result report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