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9791" w14:textId="77777777" w:rsidR="00374FD9" w:rsidRPr="00374FD9" w:rsidRDefault="00374FD9" w:rsidP="00374F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74FD9">
        <w:rPr>
          <w:rFonts w:ascii="Times New Roman" w:eastAsia="Times New Roman" w:hAnsi="Times New Roman" w:cs="Times New Roman"/>
          <w:b/>
          <w:bCs/>
          <w:kern w:val="36"/>
          <w:sz w:val="48"/>
          <w:szCs w:val="48"/>
          <w:lang w:eastAsia="es-MX"/>
        </w:rPr>
        <w:t>WHITE PAPER OKOZAM v2.0</w:t>
      </w:r>
    </w:p>
    <w:p w14:paraId="283664BA"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Repositioning: De Producto a Activo Intelectual Atemporal</w:t>
      </w:r>
    </w:p>
    <w:p w14:paraId="49C2FF3F"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A continuación se presenta la </w:t>
      </w:r>
      <w:r w:rsidRPr="00374FD9">
        <w:rPr>
          <w:rFonts w:ascii="Times New Roman" w:eastAsia="Times New Roman" w:hAnsi="Times New Roman" w:cs="Times New Roman"/>
          <w:b/>
          <w:bCs/>
          <w:sz w:val="24"/>
          <w:szCs w:val="24"/>
          <w:lang w:eastAsia="es-MX"/>
        </w:rPr>
        <w:t>versión refactorizada del White Paper Ejecutivo</w:t>
      </w:r>
      <w:r w:rsidRPr="00374FD9">
        <w:rPr>
          <w:rFonts w:ascii="Times New Roman" w:eastAsia="Times New Roman" w:hAnsi="Times New Roman" w:cs="Times New Roman"/>
          <w:sz w:val="24"/>
          <w:szCs w:val="24"/>
          <w:lang w:eastAsia="es-MX"/>
        </w:rPr>
        <w:t xml:space="preserve"> bajo el nuevo paradigma de venta de IP. He desarrollado las dos secciones que proporcionaste e integrado las modificaciones consistentes en todo el documento (eliminando referencias a fases de fabricación, cronogramas pasivos, "rondas seed", y reemplazando el lenguaje de producto por lenguaje de activo). Al final encontrarás un análisis crítico con áreas de mejora detectadas durante esta refactorización.</w:t>
      </w:r>
    </w:p>
    <w:p w14:paraId="58C6FF42"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59A5677B">
          <v:rect id="_x0000_i1038" alt="" style="width:441.8pt;height:.05pt;mso-width-percent:0;mso-height-percent:0;mso-width-percent:0;mso-height-percent:0" o:hrpct="944" o:hralign="center" o:hrstd="t" o:hr="t" fillcolor="#a0a0a0" stroked="f"/>
        </w:pict>
      </w:r>
    </w:p>
    <w:p w14:paraId="653B6BFA" w14:textId="77777777" w:rsidR="00374FD9" w:rsidRPr="00374FD9" w:rsidRDefault="00374FD9" w:rsidP="00374F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74FD9">
        <w:rPr>
          <w:rFonts w:ascii="Times New Roman" w:eastAsia="Times New Roman" w:hAnsi="Times New Roman" w:cs="Times New Roman"/>
          <w:b/>
          <w:bCs/>
          <w:kern w:val="36"/>
          <w:sz w:val="48"/>
          <w:szCs w:val="48"/>
          <w:lang w:eastAsia="es-MX"/>
        </w:rPr>
        <w:t>█████████████████████████████████████████████████████████</w:t>
      </w:r>
    </w:p>
    <w:p w14:paraId="33AA5054" w14:textId="77777777" w:rsidR="00374FD9" w:rsidRPr="00374FD9" w:rsidRDefault="00374FD9" w:rsidP="00374F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374FD9">
        <w:rPr>
          <w:rFonts w:ascii="Times New Roman" w:eastAsia="Times New Roman" w:hAnsi="Times New Roman" w:cs="Times New Roman"/>
          <w:b/>
          <w:bCs/>
          <w:kern w:val="36"/>
          <w:sz w:val="48"/>
          <w:szCs w:val="48"/>
          <w:lang w:eastAsia="es-MX"/>
        </w:rPr>
        <w:t>OKOZAM IP CORE</w:t>
      </w:r>
    </w:p>
    <w:p w14:paraId="27D87FAF"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Arquitectura Topológica Asíncrona para Cómputo In-Memory Tridimensional</w:t>
      </w:r>
    </w:p>
    <w:p w14:paraId="37A715E5"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Paquete de Propiedad Intelectual para Adquisición o Licenciamiento Estratégico</w:t>
      </w:r>
    </w:p>
    <w:p w14:paraId="1FFFCA4F"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i/>
          <w:iCs/>
          <w:sz w:val="24"/>
          <w:szCs w:val="24"/>
          <w:lang w:eastAsia="es-MX"/>
        </w:rPr>
        <w:t>Documento de Posicionamiento — Versión Comercial</w:t>
      </w:r>
      <w:r w:rsidRPr="00374FD9">
        <w:rPr>
          <w:rFonts w:ascii="Times New Roman" w:eastAsia="Times New Roman" w:hAnsi="Times New Roman" w:cs="Times New Roman"/>
          <w:sz w:val="24"/>
          <w:szCs w:val="24"/>
          <w:lang w:eastAsia="es-MX"/>
        </w:rPr>
        <w:t xml:space="preserve"> </w:t>
      </w:r>
      <w:r w:rsidRPr="00374FD9">
        <w:rPr>
          <w:rFonts w:ascii="Times New Roman" w:eastAsia="Times New Roman" w:hAnsi="Times New Roman" w:cs="Times New Roman"/>
          <w:i/>
          <w:iCs/>
          <w:sz w:val="24"/>
          <w:szCs w:val="24"/>
          <w:lang w:eastAsia="es-MX"/>
        </w:rPr>
        <w:t>Clasificación: Difusión limitada · Material no técnico-crítico</w:t>
      </w:r>
    </w:p>
    <w:p w14:paraId="3301038E"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511E9AEE">
          <v:rect id="_x0000_i1037" alt="" style="width:441.8pt;height:.05pt;mso-width-percent:0;mso-height-percent:0;mso-width-percent:0;mso-height-percent:0" o:hrpct="944" o:hralign="center" o:hrstd="t" o:hr="t" fillcolor="#a0a0a0" stroked="f"/>
        </w:pict>
      </w:r>
    </w:p>
    <w:p w14:paraId="48F223AB"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RESUMEN EJECUTIVO: UN ACTIVO DE PROPIEDAD INTELECTUAL (IP CORE)</w:t>
      </w:r>
    </w:p>
    <w:p w14:paraId="0C4F4319"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proyecto </w:t>
      </w:r>
      <w:r w:rsidRPr="00374FD9">
        <w:rPr>
          <w:rFonts w:ascii="Times New Roman" w:eastAsia="Times New Roman" w:hAnsi="Times New Roman" w:cs="Times New Roman"/>
          <w:b/>
          <w:bCs/>
          <w:sz w:val="24"/>
          <w:szCs w:val="24"/>
          <w:lang w:eastAsia="es-MX"/>
        </w:rPr>
        <w:t>OKOZAM</w:t>
      </w:r>
      <w:r w:rsidRPr="00374FD9">
        <w:rPr>
          <w:rFonts w:ascii="Times New Roman" w:eastAsia="Times New Roman" w:hAnsi="Times New Roman" w:cs="Times New Roman"/>
          <w:sz w:val="24"/>
          <w:szCs w:val="24"/>
          <w:lang w:eastAsia="es-MX"/>
        </w:rPr>
        <w:t xml:space="preserve"> no es un producto físico en etapa de manufactura; es un </w:t>
      </w:r>
      <w:r w:rsidRPr="00374FD9">
        <w:rPr>
          <w:rFonts w:ascii="Times New Roman" w:eastAsia="Times New Roman" w:hAnsi="Times New Roman" w:cs="Times New Roman"/>
          <w:b/>
          <w:bCs/>
          <w:sz w:val="24"/>
          <w:szCs w:val="24"/>
          <w:lang w:eastAsia="es-MX"/>
        </w:rPr>
        <w:t>Paquete de Transferencia de Propiedad Intelectual (IP Core)</w:t>
      </w:r>
      <w:r w:rsidRPr="00374FD9">
        <w:rPr>
          <w:rFonts w:ascii="Times New Roman" w:eastAsia="Times New Roman" w:hAnsi="Times New Roman" w:cs="Times New Roman"/>
          <w:sz w:val="24"/>
          <w:szCs w:val="24"/>
          <w:lang w:eastAsia="es-MX"/>
        </w:rPr>
        <w:t xml:space="preserve"> validado y estructurado para ser </w:t>
      </w:r>
      <w:r w:rsidRPr="00374FD9">
        <w:rPr>
          <w:rFonts w:ascii="Times New Roman" w:eastAsia="Times New Roman" w:hAnsi="Times New Roman" w:cs="Times New Roman"/>
          <w:b/>
          <w:bCs/>
          <w:sz w:val="24"/>
          <w:szCs w:val="24"/>
          <w:lang w:eastAsia="es-MX"/>
        </w:rPr>
        <w:t>licenciado o adquirido</w:t>
      </w:r>
      <w:r w:rsidRPr="00374FD9">
        <w:rPr>
          <w:rFonts w:ascii="Times New Roman" w:eastAsia="Times New Roman" w:hAnsi="Times New Roman" w:cs="Times New Roman"/>
          <w:sz w:val="24"/>
          <w:szCs w:val="24"/>
          <w:lang w:eastAsia="es-MX"/>
        </w:rPr>
        <w:t xml:space="preserve"> por firmas de semiconductores (IDMs), fabricantes fabless de aceleradores, foundries (Fabs) o hiperescaladores de cómputo en la nube.</w:t>
      </w:r>
    </w:p>
    <w:p w14:paraId="57CDBFBE"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lastRenderedPageBreak/>
        <w:t xml:space="preserve">OKOZAM representa una ruptura formal con la arquitectura Von Neumann, resolviendo el "Muro de la Memoria" y la crisis térmica del High-Performance Computing (HPC) — dos problemas críticos que las firmas dominantes del mercado </w:t>
      </w:r>
      <w:r w:rsidRPr="00374FD9">
        <w:rPr>
          <w:rFonts w:ascii="Times New Roman" w:eastAsia="Times New Roman" w:hAnsi="Times New Roman" w:cs="Times New Roman"/>
          <w:b/>
          <w:bCs/>
          <w:sz w:val="24"/>
          <w:szCs w:val="24"/>
          <w:lang w:eastAsia="es-MX"/>
        </w:rPr>
        <w:t>no han podido solucionar de forma monolítica</w:t>
      </w:r>
      <w:r w:rsidRPr="00374FD9">
        <w:rPr>
          <w:rFonts w:ascii="Times New Roman" w:eastAsia="Times New Roman" w:hAnsi="Times New Roman" w:cs="Times New Roman"/>
          <w:sz w:val="24"/>
          <w:szCs w:val="24"/>
          <w:lang w:eastAsia="es-MX"/>
        </w:rPr>
        <w:t xml:space="preserve"> dentro de sus hojas de ruta actuales.</w:t>
      </w:r>
    </w:p>
    <w:p w14:paraId="0B41B591"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A través de la arquitectura propietaria de </w:t>
      </w:r>
      <w:r w:rsidRPr="00374FD9">
        <w:rPr>
          <w:rFonts w:ascii="Times New Roman" w:eastAsia="Times New Roman" w:hAnsi="Times New Roman" w:cs="Times New Roman"/>
          <w:b/>
          <w:bCs/>
          <w:sz w:val="24"/>
          <w:szCs w:val="24"/>
          <w:lang w:eastAsia="es-MX"/>
        </w:rPr>
        <w:t>Dinámica de Eficiencia Entrópica (DEE)</w:t>
      </w:r>
      <w:r w:rsidRPr="00374FD9">
        <w:rPr>
          <w:rFonts w:ascii="Times New Roman" w:eastAsia="Times New Roman" w:hAnsi="Times New Roman" w:cs="Times New Roman"/>
          <w:sz w:val="24"/>
          <w:szCs w:val="24"/>
          <w:lang w:eastAsia="es-MX"/>
        </w:rPr>
        <w:t xml:space="preserve">, OKOZAM ofrece el diseño completo de un </w:t>
      </w:r>
      <w:r w:rsidRPr="00374FD9">
        <w:rPr>
          <w:rFonts w:ascii="Times New Roman" w:eastAsia="Times New Roman" w:hAnsi="Times New Roman" w:cs="Times New Roman"/>
          <w:b/>
          <w:bCs/>
          <w:sz w:val="24"/>
          <w:szCs w:val="24"/>
          <w:lang w:eastAsia="es-MX"/>
        </w:rPr>
        <w:t>Acelerador In-Memory Asíncrono Tridimensional</w:t>
      </w:r>
      <w:r w:rsidRPr="00374FD9">
        <w:rPr>
          <w:rFonts w:ascii="Times New Roman" w:eastAsia="Times New Roman" w:hAnsi="Times New Roman" w:cs="Times New Roman"/>
          <w:sz w:val="24"/>
          <w:szCs w:val="24"/>
          <w:lang w:eastAsia="es-MX"/>
        </w:rPr>
        <w:t>, capaz de operar con latencia O(1)\mathcal{O}(1) O(1) topológica y de reducir el consumo dinámico en estado estable hasta niveles de fuga parasitaria (Leakage Power, &lt; 0.5 W por bloque estándar).</w:t>
      </w:r>
    </w:p>
    <w:p w14:paraId="72DF3179"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activo se entrega validado en silicio reconfigurable (RTL Verilog operativo en FPGA) y acompañado de la especificación de su sustrato físico de memoria resistiva (ReRAM basada en Óxido de Hafnio), constituyendo el </w:t>
      </w:r>
      <w:r w:rsidRPr="00374FD9">
        <w:rPr>
          <w:rFonts w:ascii="Times New Roman" w:eastAsia="Times New Roman" w:hAnsi="Times New Roman" w:cs="Times New Roman"/>
          <w:b/>
          <w:bCs/>
          <w:sz w:val="24"/>
          <w:szCs w:val="24"/>
          <w:lang w:eastAsia="es-MX"/>
        </w:rPr>
        <w:t>puente tecnológico para que el adquirente lidere la próxima década de simulación científica, biotecnología computacional y Edge AI</w:t>
      </w:r>
      <w:r w:rsidRPr="00374FD9">
        <w:rPr>
          <w:rFonts w:ascii="Times New Roman" w:eastAsia="Times New Roman" w:hAnsi="Times New Roman" w:cs="Times New Roman"/>
          <w:sz w:val="24"/>
          <w:szCs w:val="24"/>
          <w:lang w:eastAsia="es-MX"/>
        </w:rPr>
        <w:t xml:space="preserve"> sin depender de la guerra de litografías ni del cuello de botella HBM.</w:t>
      </w:r>
    </w:p>
    <w:p w14:paraId="7779D8D4"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2B17ED37">
          <v:rect id="_x0000_i1036" alt="" style="width:441.8pt;height:.05pt;mso-width-percent:0;mso-height-percent:0;mso-width-percent:0;mso-height-percent:0" o:hrpct="944" o:hralign="center" o:hrstd="t" o:hr="t" fillcolor="#a0a0a0" stroked="f"/>
        </w:pict>
      </w:r>
    </w:p>
    <w:p w14:paraId="1880302F"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1. CONTEXTO INDUSTRIAL: LA OPORTUNIDAD DE ESCASEZ ESTRUCTURAL</w:t>
      </w:r>
    </w:p>
    <w:p w14:paraId="08C53599"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1.1 Los Cuellos de Botella No Resueltos del Sector</w:t>
      </w:r>
    </w:p>
    <w:p w14:paraId="10A5DCBE"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La industria del cómputo de alto rendimiento atraviesa un punto de inflexión termodinámico. Las firmas líderes —fabless de aceleradores, IDMs y hiperescaladores— enfrentan tres limitaciones que </w:t>
      </w:r>
      <w:r w:rsidRPr="00374FD9">
        <w:rPr>
          <w:rFonts w:ascii="Times New Roman" w:eastAsia="Times New Roman" w:hAnsi="Times New Roman" w:cs="Times New Roman"/>
          <w:b/>
          <w:bCs/>
          <w:sz w:val="24"/>
          <w:szCs w:val="24"/>
          <w:lang w:eastAsia="es-MX"/>
        </w:rPr>
        <w:t>no pueden resolverse mediante litografía adicional</w:t>
      </w:r>
      <w:r w:rsidRPr="00374FD9">
        <w:rPr>
          <w:rFonts w:ascii="Times New Roman" w:eastAsia="Times New Roman" w:hAnsi="Times New Roman" w:cs="Times New Roman"/>
          <w:sz w:val="24"/>
          <w:szCs w:val="24"/>
          <w:lang w:eastAsia="es-MX"/>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6094"/>
      </w:tblGrid>
      <w:tr w:rsidR="00374FD9" w:rsidRPr="00374FD9" w14:paraId="5E391F7F" w14:textId="77777777" w:rsidTr="00374FD9">
        <w:trPr>
          <w:tblHeader/>
          <w:tblCellSpacing w:w="15" w:type="dxa"/>
        </w:trPr>
        <w:tc>
          <w:tcPr>
            <w:tcW w:w="0" w:type="auto"/>
            <w:vAlign w:val="center"/>
            <w:hideMark/>
          </w:tcPr>
          <w:p w14:paraId="4612144E"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Limitación Estructural</w:t>
            </w:r>
          </w:p>
        </w:tc>
        <w:tc>
          <w:tcPr>
            <w:tcW w:w="0" w:type="auto"/>
            <w:vAlign w:val="center"/>
            <w:hideMark/>
          </w:tcPr>
          <w:p w14:paraId="3EA1BF6A"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Manifestación Comercial</w:t>
            </w:r>
          </w:p>
        </w:tc>
      </w:tr>
      <w:tr w:rsidR="00374FD9" w:rsidRPr="00374FD9" w14:paraId="56BC00BE" w14:textId="77777777" w:rsidTr="00374FD9">
        <w:trPr>
          <w:tblCellSpacing w:w="15" w:type="dxa"/>
        </w:trPr>
        <w:tc>
          <w:tcPr>
            <w:tcW w:w="0" w:type="auto"/>
            <w:vAlign w:val="center"/>
            <w:hideMark/>
          </w:tcPr>
          <w:p w14:paraId="507A2ABF"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Muro de la Memoria</w:t>
            </w:r>
          </w:p>
        </w:tc>
        <w:tc>
          <w:tcPr>
            <w:tcW w:w="0" w:type="auto"/>
            <w:vAlign w:val="center"/>
            <w:hideMark/>
          </w:tcPr>
          <w:p w14:paraId="79C6B288"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El 80–90% de la energía se consume moviendo datos entre HBM y núcleos de cómputo</w:t>
            </w:r>
          </w:p>
        </w:tc>
      </w:tr>
      <w:tr w:rsidR="00374FD9" w:rsidRPr="00374FD9" w14:paraId="50D2BC07" w14:textId="77777777" w:rsidTr="00374FD9">
        <w:trPr>
          <w:tblCellSpacing w:w="15" w:type="dxa"/>
        </w:trPr>
        <w:tc>
          <w:tcPr>
            <w:tcW w:w="0" w:type="auto"/>
            <w:vAlign w:val="center"/>
            <w:hideMark/>
          </w:tcPr>
          <w:p w14:paraId="05756440"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Reloj Global Síncrono</w:t>
            </w:r>
          </w:p>
        </w:tc>
        <w:tc>
          <w:tcPr>
            <w:tcW w:w="0" w:type="auto"/>
            <w:vAlign w:val="center"/>
            <w:hideMark/>
          </w:tcPr>
          <w:p w14:paraId="03939BF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Imposibilidad de escalar densidad 3D sin colapso térmico</w:t>
            </w:r>
          </w:p>
        </w:tc>
      </w:tr>
      <w:tr w:rsidR="00374FD9" w:rsidRPr="00374FD9" w14:paraId="1FB699E6" w14:textId="77777777" w:rsidTr="00374FD9">
        <w:trPr>
          <w:tblCellSpacing w:w="15" w:type="dxa"/>
        </w:trPr>
        <w:tc>
          <w:tcPr>
            <w:tcW w:w="0" w:type="auto"/>
            <w:vAlign w:val="center"/>
            <w:hideMark/>
          </w:tcPr>
          <w:p w14:paraId="3F8430F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Volatilidad de la SRAM/DRAM</w:t>
            </w:r>
          </w:p>
        </w:tc>
        <w:tc>
          <w:tcPr>
            <w:tcW w:w="0" w:type="auto"/>
            <w:vAlign w:val="center"/>
            <w:hideMark/>
          </w:tcPr>
          <w:p w14:paraId="4D570DBB"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Leakage power permanente que impide cero-Watt en idle</w:t>
            </w:r>
          </w:p>
        </w:tc>
      </w:tr>
      <w:tr w:rsidR="00374FD9" w:rsidRPr="00374FD9" w14:paraId="00C39A83" w14:textId="77777777" w:rsidTr="00374FD9">
        <w:trPr>
          <w:tblCellSpacing w:w="15" w:type="dxa"/>
        </w:trPr>
        <w:tc>
          <w:tcPr>
            <w:tcW w:w="0" w:type="auto"/>
            <w:vAlign w:val="center"/>
            <w:hideMark/>
          </w:tcPr>
          <w:p w14:paraId="3B3AD3AA"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Bus Centralizado</w:t>
            </w:r>
          </w:p>
        </w:tc>
        <w:tc>
          <w:tcPr>
            <w:tcW w:w="0" w:type="auto"/>
            <w:vAlign w:val="center"/>
            <w:hideMark/>
          </w:tcPr>
          <w:p w14:paraId="5AD6E2B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Cuello de botella de ancho de banda agregado</w:t>
            </w:r>
          </w:p>
        </w:tc>
      </w:tr>
    </w:tbl>
    <w:p w14:paraId="6B0B50E1"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Cada una de estas limitaciones es una propiedad fundamental del paradigma Von Neumann. Ninguna se resuelve con un nodo más fino de litografía. Ninguna se resuelve con HBM4. Ninguna se resuelve con NVLink.</w:t>
      </w:r>
    </w:p>
    <w:p w14:paraId="2C2AB7E9"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1.2 La Oportunidad Estratégica</w:t>
      </w:r>
    </w:p>
    <w:p w14:paraId="7DDE2182"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OKOZAM ataca </w:t>
      </w:r>
      <w:r w:rsidRPr="00374FD9">
        <w:rPr>
          <w:rFonts w:ascii="Times New Roman" w:eastAsia="Times New Roman" w:hAnsi="Times New Roman" w:cs="Times New Roman"/>
          <w:b/>
          <w:bCs/>
          <w:sz w:val="24"/>
          <w:szCs w:val="24"/>
          <w:lang w:eastAsia="es-MX"/>
        </w:rPr>
        <w:t>simultáneamente</w:t>
      </w:r>
      <w:r w:rsidRPr="00374FD9">
        <w:rPr>
          <w:rFonts w:ascii="Times New Roman" w:eastAsia="Times New Roman" w:hAnsi="Times New Roman" w:cs="Times New Roman"/>
          <w:sz w:val="24"/>
          <w:szCs w:val="24"/>
          <w:lang w:eastAsia="es-MX"/>
        </w:rPr>
        <w:t xml:space="preserve"> los cuatro vectores anteriores mediante un cambio de paradigma arquitectónico —no de proceso de fabricación. Esto significa que cualquier </w:t>
      </w:r>
      <w:r w:rsidRPr="00374FD9">
        <w:rPr>
          <w:rFonts w:ascii="Times New Roman" w:eastAsia="Times New Roman" w:hAnsi="Times New Roman" w:cs="Times New Roman"/>
          <w:sz w:val="24"/>
          <w:szCs w:val="24"/>
          <w:lang w:eastAsia="es-MX"/>
        </w:rPr>
        <w:lastRenderedPageBreak/>
        <w:t xml:space="preserve">adquirente con capacidad de manufactura existente (fundición disponible, equipos de empaquetado 3D-IC) puede materializar un producto disruptivo </w:t>
      </w:r>
      <w:r w:rsidRPr="00374FD9">
        <w:rPr>
          <w:rFonts w:ascii="Times New Roman" w:eastAsia="Times New Roman" w:hAnsi="Times New Roman" w:cs="Times New Roman"/>
          <w:b/>
          <w:bCs/>
          <w:sz w:val="24"/>
          <w:szCs w:val="24"/>
          <w:lang w:eastAsia="es-MX"/>
        </w:rPr>
        <w:t>sin necesidad de inventar nueva maquinaria de fabricación</w:t>
      </w:r>
      <w:r w:rsidRPr="00374FD9">
        <w:rPr>
          <w:rFonts w:ascii="Times New Roman" w:eastAsia="Times New Roman" w:hAnsi="Times New Roman" w:cs="Times New Roman"/>
          <w:sz w:val="24"/>
          <w:szCs w:val="24"/>
          <w:lang w:eastAsia="es-MX"/>
        </w:rPr>
        <w:t>.</w:t>
      </w:r>
    </w:p>
    <w:p w14:paraId="4DB87D73" w14:textId="77777777" w:rsidR="00374FD9" w:rsidRPr="00374FD9" w:rsidRDefault="00374FD9" w:rsidP="00374FD9">
      <w:pPr>
        <w:spacing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Posicionamiento clave:</w:t>
      </w:r>
      <w:r w:rsidRPr="00374FD9">
        <w:rPr>
          <w:rFonts w:ascii="Times New Roman" w:eastAsia="Times New Roman" w:hAnsi="Times New Roman" w:cs="Times New Roman"/>
          <w:sz w:val="24"/>
          <w:szCs w:val="24"/>
          <w:lang w:eastAsia="es-MX"/>
        </w:rPr>
        <w:t xml:space="preserve"> </w:t>
      </w:r>
      <w:r w:rsidRPr="00374FD9">
        <w:rPr>
          <w:rFonts w:ascii="Times New Roman" w:eastAsia="Times New Roman" w:hAnsi="Times New Roman" w:cs="Times New Roman"/>
          <w:i/>
          <w:iCs/>
          <w:sz w:val="24"/>
          <w:szCs w:val="24"/>
          <w:lang w:eastAsia="es-MX"/>
        </w:rPr>
        <w:t>Las firmas dominantes tienen el músculo de fabricación. OKOZAM aporta la lógica matemática y termodinámica que rompe la barrera física donde su músculo actual ya no rinde retornos crecientes.</w:t>
      </w:r>
    </w:p>
    <w:p w14:paraId="39B17D1E"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7989A9FF">
          <v:rect id="_x0000_i1035" alt="" style="width:441.8pt;height:.05pt;mso-width-percent:0;mso-height-percent:0;mso-width-percent:0;mso-height-percent:0" o:hrpct="944" o:hralign="center" o:hrstd="t" o:hr="t" fillcolor="#a0a0a0" stroked="f"/>
        </w:pict>
      </w:r>
    </w:p>
    <w:p w14:paraId="6919C7A8"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2. LA TESIS DEE: PRINCIPIOS DE DISEÑO</w:t>
      </w:r>
    </w:p>
    <w:p w14:paraId="1D0D571E"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OKOZAM materializa la </w:t>
      </w:r>
      <w:r w:rsidRPr="00374FD9">
        <w:rPr>
          <w:rFonts w:ascii="Times New Roman" w:eastAsia="Times New Roman" w:hAnsi="Times New Roman" w:cs="Times New Roman"/>
          <w:b/>
          <w:bCs/>
          <w:sz w:val="24"/>
          <w:szCs w:val="24"/>
          <w:lang w:eastAsia="es-MX"/>
        </w:rPr>
        <w:t>Dinámica de Eficiencia Entrópica (DEE)</w:t>
      </w:r>
      <w:r w:rsidRPr="00374FD9">
        <w:rPr>
          <w:rFonts w:ascii="Times New Roman" w:eastAsia="Times New Roman" w:hAnsi="Times New Roman" w:cs="Times New Roman"/>
          <w:sz w:val="24"/>
          <w:szCs w:val="24"/>
          <w:lang w:eastAsia="es-MX"/>
        </w:rPr>
        <w:t>, un marco teórico propietario que reformula el procesamiento de datos como un sistema termodinámico cerrado donde:</w:t>
      </w:r>
    </w:p>
    <w:p w14:paraId="23D3E0A2" w14:textId="77777777" w:rsidR="00374FD9" w:rsidRPr="00374FD9" w:rsidRDefault="00374FD9" w:rsidP="00374F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La </w:t>
      </w:r>
      <w:r w:rsidRPr="00374FD9">
        <w:rPr>
          <w:rFonts w:ascii="Times New Roman" w:eastAsia="Times New Roman" w:hAnsi="Times New Roman" w:cs="Times New Roman"/>
          <w:b/>
          <w:bCs/>
          <w:sz w:val="24"/>
          <w:szCs w:val="24"/>
          <w:lang w:eastAsia="es-MX"/>
        </w:rPr>
        <w:t>información es una propiedad geométrica del espacio</w:t>
      </w:r>
      <w:r w:rsidRPr="00374FD9">
        <w:rPr>
          <w:rFonts w:ascii="Times New Roman" w:eastAsia="Times New Roman" w:hAnsi="Times New Roman" w:cs="Times New Roman"/>
          <w:sz w:val="24"/>
          <w:szCs w:val="24"/>
          <w:lang w:eastAsia="es-MX"/>
        </w:rPr>
        <w:t>, no un valor almacenado en una dirección.</w:t>
      </w:r>
    </w:p>
    <w:p w14:paraId="125D6C50" w14:textId="77777777" w:rsidR="00374FD9" w:rsidRPr="00374FD9" w:rsidRDefault="00374FD9" w:rsidP="00374F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La </w:t>
      </w:r>
      <w:r w:rsidRPr="00374FD9">
        <w:rPr>
          <w:rFonts w:ascii="Times New Roman" w:eastAsia="Times New Roman" w:hAnsi="Times New Roman" w:cs="Times New Roman"/>
          <w:b/>
          <w:bCs/>
          <w:sz w:val="24"/>
          <w:szCs w:val="24"/>
          <w:lang w:eastAsia="es-MX"/>
        </w:rPr>
        <w:t>entropía es una variable computacional acumulable y enrutable</w:t>
      </w:r>
      <w:r w:rsidRPr="00374FD9">
        <w:rPr>
          <w:rFonts w:ascii="Times New Roman" w:eastAsia="Times New Roman" w:hAnsi="Times New Roman" w:cs="Times New Roman"/>
          <w:sz w:val="24"/>
          <w:szCs w:val="24"/>
          <w:lang w:eastAsia="es-MX"/>
        </w:rPr>
        <w:t>.</w:t>
      </w:r>
    </w:p>
    <w:p w14:paraId="2510FB27" w14:textId="77777777" w:rsidR="00374FD9" w:rsidRPr="00374FD9" w:rsidRDefault="00374FD9" w:rsidP="00374F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La </w:t>
      </w:r>
      <w:r w:rsidRPr="00374FD9">
        <w:rPr>
          <w:rFonts w:ascii="Times New Roman" w:eastAsia="Times New Roman" w:hAnsi="Times New Roman" w:cs="Times New Roman"/>
          <w:b/>
          <w:bCs/>
          <w:sz w:val="24"/>
          <w:szCs w:val="24"/>
          <w:lang w:eastAsia="es-MX"/>
        </w:rPr>
        <w:t>simetría vectorial entre vecinos topológicos</w:t>
      </w:r>
      <w:r w:rsidRPr="00374FD9">
        <w:rPr>
          <w:rFonts w:ascii="Times New Roman" w:eastAsia="Times New Roman" w:hAnsi="Times New Roman" w:cs="Times New Roman"/>
          <w:sz w:val="24"/>
          <w:szCs w:val="24"/>
          <w:lang w:eastAsia="es-MX"/>
        </w:rPr>
        <w:t xml:space="preserve"> representa el estado de mínima energía y se utiliza como criterio físico de cristalización del dato.</w:t>
      </w:r>
    </w:p>
    <w:p w14:paraId="177FC297" w14:textId="77777777" w:rsidR="00374FD9" w:rsidRPr="00374FD9" w:rsidRDefault="00374FD9" w:rsidP="00374F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w:t>
      </w:r>
      <w:r w:rsidRPr="00374FD9">
        <w:rPr>
          <w:rFonts w:ascii="Times New Roman" w:eastAsia="Times New Roman" w:hAnsi="Times New Roman" w:cs="Times New Roman"/>
          <w:b/>
          <w:bCs/>
          <w:sz w:val="24"/>
          <w:szCs w:val="24"/>
          <w:lang w:eastAsia="es-MX"/>
        </w:rPr>
        <w:t>bloqueo de fase físico</w:t>
      </w:r>
      <w:r w:rsidRPr="00374FD9">
        <w:rPr>
          <w:rFonts w:ascii="Times New Roman" w:eastAsia="Times New Roman" w:hAnsi="Times New Roman" w:cs="Times New Roman"/>
          <w:sz w:val="24"/>
          <w:szCs w:val="24"/>
          <w:lang w:eastAsia="es-MX"/>
        </w:rPr>
        <w:t xml:space="preserve"> (</w:t>
      </w:r>
      <w:r w:rsidRPr="00374FD9">
        <w:rPr>
          <w:rFonts w:ascii="Times New Roman" w:eastAsia="Times New Roman" w:hAnsi="Times New Roman" w:cs="Times New Roman"/>
          <w:i/>
          <w:iCs/>
          <w:sz w:val="24"/>
          <w:szCs w:val="24"/>
          <w:lang w:eastAsia="es-MX"/>
        </w:rPr>
        <w:t>Candado de Fase</w:t>
      </w:r>
      <w:r w:rsidRPr="00374FD9">
        <w:rPr>
          <w:rFonts w:ascii="Times New Roman" w:eastAsia="Times New Roman" w:hAnsi="Times New Roman" w:cs="Times New Roman"/>
          <w:sz w:val="24"/>
          <w:szCs w:val="24"/>
          <w:lang w:eastAsia="es-MX"/>
        </w:rPr>
        <w:t>) reemplaza la operación de escritura tradicional, eliminando el consumo dinámico una vez alcanzada la estabilidad.</w:t>
      </w:r>
    </w:p>
    <w:p w14:paraId="1B58CFE8"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Bajo la DEE, el hardware no ejecuta instrucciones secuenciales. </w:t>
      </w:r>
      <w:r w:rsidRPr="00374FD9">
        <w:rPr>
          <w:rFonts w:ascii="Times New Roman" w:eastAsia="Times New Roman" w:hAnsi="Times New Roman" w:cs="Times New Roman"/>
          <w:b/>
          <w:bCs/>
          <w:sz w:val="24"/>
          <w:szCs w:val="24"/>
          <w:lang w:eastAsia="es-MX"/>
        </w:rPr>
        <w:t>Obedece leyes físicas grabadas en su disposición de compuertas</w:t>
      </w:r>
      <w:r w:rsidRPr="00374FD9">
        <w:rPr>
          <w:rFonts w:ascii="Times New Roman" w:eastAsia="Times New Roman" w:hAnsi="Times New Roman" w:cs="Times New Roman"/>
          <w:sz w:val="24"/>
          <w:szCs w:val="24"/>
          <w:lang w:eastAsia="es-MX"/>
        </w:rPr>
        <w:t>, alcanzando soluciones topológicas mediante propagación termodinámica natural.</w:t>
      </w:r>
    </w:p>
    <w:p w14:paraId="392CC1D6"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6AB96BAC">
          <v:rect id="_x0000_i1034" alt="" style="width:441.8pt;height:.05pt;mso-width-percent:0;mso-height-percent:0;mso-width-percent:0;mso-height-percent:0" o:hrpct="944" o:hralign="center" o:hrstd="t" o:hr="t" fillcolor="#a0a0a0" stroked="f"/>
        </w:pict>
      </w:r>
    </w:p>
    <w:p w14:paraId="0514FE52"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3. COMPONENTES DEL IP CORE OKOZAM</w:t>
      </w:r>
    </w:p>
    <w:p w14:paraId="116D3F86"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El paquete de propiedad intelectual se articula en cuatro capas integradas: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5047"/>
        <w:gridCol w:w="2102"/>
      </w:tblGrid>
      <w:tr w:rsidR="00374FD9" w:rsidRPr="00374FD9" w14:paraId="6FAE84C3" w14:textId="77777777" w:rsidTr="00374FD9">
        <w:trPr>
          <w:tblHeader/>
          <w:tblCellSpacing w:w="15" w:type="dxa"/>
        </w:trPr>
        <w:tc>
          <w:tcPr>
            <w:tcW w:w="0" w:type="auto"/>
            <w:vAlign w:val="center"/>
            <w:hideMark/>
          </w:tcPr>
          <w:p w14:paraId="272A9FD8"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Capa</w:t>
            </w:r>
          </w:p>
        </w:tc>
        <w:tc>
          <w:tcPr>
            <w:tcW w:w="0" w:type="auto"/>
            <w:vAlign w:val="center"/>
            <w:hideMark/>
          </w:tcPr>
          <w:p w14:paraId="2942E2BC"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Componente del IP</w:t>
            </w:r>
          </w:p>
        </w:tc>
        <w:tc>
          <w:tcPr>
            <w:tcW w:w="0" w:type="auto"/>
            <w:vAlign w:val="center"/>
            <w:hideMark/>
          </w:tcPr>
          <w:p w14:paraId="060101CB"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Madurez</w:t>
            </w:r>
          </w:p>
        </w:tc>
      </w:tr>
      <w:tr w:rsidR="00374FD9" w:rsidRPr="00374FD9" w14:paraId="7102904C" w14:textId="77777777" w:rsidTr="00374FD9">
        <w:trPr>
          <w:tblCellSpacing w:w="15" w:type="dxa"/>
        </w:trPr>
        <w:tc>
          <w:tcPr>
            <w:tcW w:w="0" w:type="auto"/>
            <w:vAlign w:val="center"/>
            <w:hideMark/>
          </w:tcPr>
          <w:p w14:paraId="152819A3"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L0 — Materiales</w:t>
            </w:r>
          </w:p>
        </w:tc>
        <w:tc>
          <w:tcPr>
            <w:tcW w:w="0" w:type="auto"/>
            <w:vAlign w:val="center"/>
            <w:hideMark/>
          </w:tcPr>
          <w:p w14:paraId="3E6C522A"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Especificación analítica del sustrato ReRAM HfO₂ con régimen geométrico optimizado para suprimir el Ruido Telegráfico Aleatorio (RTN)</w:t>
            </w:r>
          </w:p>
        </w:tc>
        <w:tc>
          <w:tcPr>
            <w:tcW w:w="0" w:type="auto"/>
            <w:vAlign w:val="center"/>
            <w:hideMark/>
          </w:tcPr>
          <w:p w14:paraId="5C98E7D4"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Modelo físico documentado</w:t>
            </w:r>
          </w:p>
        </w:tc>
      </w:tr>
      <w:tr w:rsidR="00374FD9" w:rsidRPr="00374FD9" w14:paraId="53C65139" w14:textId="77777777" w:rsidTr="00374FD9">
        <w:trPr>
          <w:tblCellSpacing w:w="15" w:type="dxa"/>
        </w:trPr>
        <w:tc>
          <w:tcPr>
            <w:tcW w:w="0" w:type="auto"/>
            <w:vAlign w:val="center"/>
            <w:hideMark/>
          </w:tcPr>
          <w:p w14:paraId="0A669D1D"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L1 — Lógica Vóxel</w:t>
            </w:r>
          </w:p>
        </w:tc>
        <w:tc>
          <w:tcPr>
            <w:tcW w:w="0" w:type="auto"/>
            <w:vAlign w:val="center"/>
            <w:hideMark/>
          </w:tcPr>
          <w:p w14:paraId="1DA60B6C"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Módulos RTL Verilog del Vóxel Topológico: ALU termodinámica, árbol DEMUX, detector de Phase Lock</w:t>
            </w:r>
          </w:p>
        </w:tc>
        <w:tc>
          <w:tcPr>
            <w:tcW w:w="0" w:type="auto"/>
            <w:vAlign w:val="center"/>
            <w:hideMark/>
          </w:tcPr>
          <w:p w14:paraId="0610F65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Validado en FPGA Xilinx Artix-7</w:t>
            </w:r>
          </w:p>
        </w:tc>
      </w:tr>
      <w:tr w:rsidR="00374FD9" w:rsidRPr="00374FD9" w14:paraId="464F51A3" w14:textId="77777777" w:rsidTr="00374FD9">
        <w:trPr>
          <w:tblCellSpacing w:w="15" w:type="dxa"/>
        </w:trPr>
        <w:tc>
          <w:tcPr>
            <w:tcW w:w="0" w:type="auto"/>
            <w:vAlign w:val="center"/>
            <w:hideMark/>
          </w:tcPr>
          <w:p w14:paraId="7A26E2B4"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L2 — Interconexión</w:t>
            </w:r>
          </w:p>
        </w:tc>
        <w:tc>
          <w:tcPr>
            <w:tcW w:w="0" w:type="auto"/>
            <w:vAlign w:val="center"/>
            <w:hideMark/>
          </w:tcPr>
          <w:p w14:paraId="40D3FBEA"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Topología 3D para vecindad de Moore completa, ruteo coplanar + TSV + Microbumps</w:t>
            </w:r>
          </w:p>
        </w:tc>
        <w:tc>
          <w:tcPr>
            <w:tcW w:w="0" w:type="auto"/>
            <w:vAlign w:val="center"/>
            <w:hideMark/>
          </w:tcPr>
          <w:p w14:paraId="1F7428D6"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Diseñado para procesos 3D-IC estándar</w:t>
            </w:r>
          </w:p>
        </w:tc>
      </w:tr>
      <w:tr w:rsidR="00374FD9" w:rsidRPr="00374FD9" w14:paraId="7935842F" w14:textId="77777777" w:rsidTr="00374FD9">
        <w:trPr>
          <w:tblCellSpacing w:w="15" w:type="dxa"/>
        </w:trPr>
        <w:tc>
          <w:tcPr>
            <w:tcW w:w="0" w:type="auto"/>
            <w:vAlign w:val="center"/>
            <w:hideMark/>
          </w:tcPr>
          <w:p w14:paraId="6BFBC76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lastRenderedPageBreak/>
              <w:t>L3 — Interfaz Host</w:t>
            </w:r>
          </w:p>
        </w:tc>
        <w:tc>
          <w:tcPr>
            <w:tcW w:w="0" w:type="auto"/>
            <w:vAlign w:val="center"/>
            <w:hideMark/>
          </w:tcPr>
          <w:p w14:paraId="351CED6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Protocolo Boundary Scan DEE, telemetría Sparse Matrix, integración PCIe Gen 5/6 / CXL</w:t>
            </w:r>
          </w:p>
        </w:tc>
        <w:tc>
          <w:tcPr>
            <w:tcW w:w="0" w:type="auto"/>
            <w:vAlign w:val="center"/>
            <w:hideMark/>
          </w:tcPr>
          <w:p w14:paraId="31CBF9A9"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Especificado y prototipado</w:t>
            </w:r>
          </w:p>
        </w:tc>
      </w:tr>
    </w:tbl>
    <w:p w14:paraId="151CFD55"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Cada capa es individualmente patentable y conjuntamente no replicable sin acceso al know-how integrado.</w:t>
      </w:r>
    </w:p>
    <w:p w14:paraId="142F5BE8"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7AABD7CA">
          <v:rect id="_x0000_i1033" alt="" style="width:441.8pt;height:.05pt;mso-width-percent:0;mso-height-percent:0;mso-width-percent:0;mso-height-percent:0" o:hrpct="944" o:hralign="center" o:hrstd="t" o:hr="t" fillcolor="#a0a0a0" stroked="f"/>
        </w:pict>
      </w:r>
    </w:p>
    <w:p w14:paraId="77E58555"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4. DIFERENCIACIÓN ESTRUCTURAL FRENTE AL ESTADO DEL ARTE</w:t>
      </w:r>
    </w:p>
    <w:p w14:paraId="3B38F49B"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4.1 Tabla Comparativa Cualitativa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408"/>
        <w:gridCol w:w="2414"/>
        <w:gridCol w:w="2017"/>
        <w:gridCol w:w="1631"/>
      </w:tblGrid>
      <w:tr w:rsidR="00374FD9" w:rsidRPr="00374FD9" w14:paraId="2D9686B0" w14:textId="77777777" w:rsidTr="00374FD9">
        <w:trPr>
          <w:tblHeader/>
          <w:tblCellSpacing w:w="15" w:type="dxa"/>
        </w:trPr>
        <w:tc>
          <w:tcPr>
            <w:tcW w:w="0" w:type="auto"/>
            <w:vAlign w:val="center"/>
            <w:hideMark/>
          </w:tcPr>
          <w:p w14:paraId="130CB959"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Atributo</w:t>
            </w:r>
          </w:p>
        </w:tc>
        <w:tc>
          <w:tcPr>
            <w:tcW w:w="0" w:type="auto"/>
            <w:vAlign w:val="center"/>
            <w:hideMark/>
          </w:tcPr>
          <w:p w14:paraId="6A2F5968"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GPUs HPC tradicionales</w:t>
            </w:r>
          </w:p>
        </w:tc>
        <w:tc>
          <w:tcPr>
            <w:tcW w:w="0" w:type="auto"/>
            <w:vAlign w:val="center"/>
            <w:hideMark/>
          </w:tcPr>
          <w:p w14:paraId="3585CEF6"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Aceleradores Wafer-Scale (Cerebras/Graphcore)</w:t>
            </w:r>
          </w:p>
        </w:tc>
        <w:tc>
          <w:tcPr>
            <w:tcW w:w="0" w:type="auto"/>
            <w:vAlign w:val="center"/>
            <w:hideMark/>
          </w:tcPr>
          <w:p w14:paraId="69618796"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Neuromórficos (Loihi/SpiNNaker)</w:t>
            </w:r>
          </w:p>
        </w:tc>
        <w:tc>
          <w:tcPr>
            <w:tcW w:w="0" w:type="auto"/>
            <w:vAlign w:val="center"/>
            <w:hideMark/>
          </w:tcPr>
          <w:p w14:paraId="5D9B65A0"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OKOZAM IP Core</w:t>
            </w:r>
          </w:p>
        </w:tc>
      </w:tr>
      <w:tr w:rsidR="00374FD9" w:rsidRPr="00374FD9" w14:paraId="212FF45B" w14:textId="77777777" w:rsidTr="00374FD9">
        <w:trPr>
          <w:tblCellSpacing w:w="15" w:type="dxa"/>
        </w:trPr>
        <w:tc>
          <w:tcPr>
            <w:tcW w:w="0" w:type="auto"/>
            <w:vAlign w:val="center"/>
            <w:hideMark/>
          </w:tcPr>
          <w:p w14:paraId="02B9E66F"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Arquitectura</w:t>
            </w:r>
          </w:p>
        </w:tc>
        <w:tc>
          <w:tcPr>
            <w:tcW w:w="0" w:type="auto"/>
            <w:vAlign w:val="center"/>
            <w:hideMark/>
          </w:tcPr>
          <w:p w14:paraId="30C9D14B"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Von Neumann síncrona</w:t>
            </w:r>
          </w:p>
        </w:tc>
        <w:tc>
          <w:tcPr>
            <w:tcW w:w="0" w:type="auto"/>
            <w:vAlign w:val="center"/>
            <w:hideMark/>
          </w:tcPr>
          <w:p w14:paraId="496F0117"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Von Neumann distribuida</w:t>
            </w:r>
          </w:p>
        </w:tc>
        <w:tc>
          <w:tcPr>
            <w:tcW w:w="0" w:type="auto"/>
            <w:vAlign w:val="center"/>
            <w:hideMark/>
          </w:tcPr>
          <w:p w14:paraId="4289ADD7"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Asíncrona 2D</w:t>
            </w:r>
          </w:p>
        </w:tc>
        <w:tc>
          <w:tcPr>
            <w:tcW w:w="0" w:type="auto"/>
            <w:vAlign w:val="center"/>
            <w:hideMark/>
          </w:tcPr>
          <w:p w14:paraId="36DEECD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In-Memory 3D Asíncrona</w:t>
            </w:r>
          </w:p>
        </w:tc>
      </w:tr>
      <w:tr w:rsidR="00374FD9" w:rsidRPr="00374FD9" w14:paraId="34420456" w14:textId="77777777" w:rsidTr="00374FD9">
        <w:trPr>
          <w:tblCellSpacing w:w="15" w:type="dxa"/>
        </w:trPr>
        <w:tc>
          <w:tcPr>
            <w:tcW w:w="0" w:type="auto"/>
            <w:vAlign w:val="center"/>
            <w:hideMark/>
          </w:tcPr>
          <w:p w14:paraId="47BE0626"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Memoria</w:t>
            </w:r>
          </w:p>
        </w:tc>
        <w:tc>
          <w:tcPr>
            <w:tcW w:w="0" w:type="auto"/>
            <w:vAlign w:val="center"/>
            <w:hideMark/>
          </w:tcPr>
          <w:p w14:paraId="5FFEB76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HBM externa</w:t>
            </w:r>
          </w:p>
        </w:tc>
        <w:tc>
          <w:tcPr>
            <w:tcW w:w="0" w:type="auto"/>
            <w:vAlign w:val="center"/>
            <w:hideMark/>
          </w:tcPr>
          <w:p w14:paraId="49CE847E"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SRAM on-die</w:t>
            </w:r>
          </w:p>
        </w:tc>
        <w:tc>
          <w:tcPr>
            <w:tcW w:w="0" w:type="auto"/>
            <w:vAlign w:val="center"/>
            <w:hideMark/>
          </w:tcPr>
          <w:p w14:paraId="12BDB7B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SRAM on-die</w:t>
            </w:r>
          </w:p>
        </w:tc>
        <w:tc>
          <w:tcPr>
            <w:tcW w:w="0" w:type="auto"/>
            <w:vAlign w:val="center"/>
            <w:hideMark/>
          </w:tcPr>
          <w:p w14:paraId="133D5DBE"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ReRAM HfO₂ no volátil</w:t>
            </w:r>
          </w:p>
        </w:tc>
      </w:tr>
      <w:tr w:rsidR="00374FD9" w:rsidRPr="00374FD9" w14:paraId="1B48A055" w14:textId="77777777" w:rsidTr="00374FD9">
        <w:trPr>
          <w:tblCellSpacing w:w="15" w:type="dxa"/>
        </w:trPr>
        <w:tc>
          <w:tcPr>
            <w:tcW w:w="0" w:type="auto"/>
            <w:vAlign w:val="center"/>
            <w:hideMark/>
          </w:tcPr>
          <w:p w14:paraId="63AD2790"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Reloj</w:t>
            </w:r>
          </w:p>
        </w:tc>
        <w:tc>
          <w:tcPr>
            <w:tcW w:w="0" w:type="auto"/>
            <w:vAlign w:val="center"/>
            <w:hideMark/>
          </w:tcPr>
          <w:p w14:paraId="04D3B4BB"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Global GHz</w:t>
            </w:r>
          </w:p>
        </w:tc>
        <w:tc>
          <w:tcPr>
            <w:tcW w:w="0" w:type="auto"/>
            <w:vAlign w:val="center"/>
            <w:hideMark/>
          </w:tcPr>
          <w:p w14:paraId="48C90F3F"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Global GHz</w:t>
            </w:r>
          </w:p>
        </w:tc>
        <w:tc>
          <w:tcPr>
            <w:tcW w:w="0" w:type="auto"/>
            <w:vAlign w:val="center"/>
            <w:hideMark/>
          </w:tcPr>
          <w:p w14:paraId="645ACF4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Local</w:t>
            </w:r>
          </w:p>
        </w:tc>
        <w:tc>
          <w:tcPr>
            <w:tcW w:w="0" w:type="auto"/>
            <w:vAlign w:val="center"/>
            <w:hideMark/>
          </w:tcPr>
          <w:p w14:paraId="0ACDFBFC"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Sin reloj global (Muller-C)</w:t>
            </w:r>
          </w:p>
        </w:tc>
      </w:tr>
      <w:tr w:rsidR="00374FD9" w:rsidRPr="00374FD9" w14:paraId="5BC5133E" w14:textId="77777777" w:rsidTr="00374FD9">
        <w:trPr>
          <w:tblCellSpacing w:w="15" w:type="dxa"/>
        </w:trPr>
        <w:tc>
          <w:tcPr>
            <w:tcW w:w="0" w:type="auto"/>
            <w:vAlign w:val="center"/>
            <w:hideMark/>
          </w:tcPr>
          <w:p w14:paraId="4C3B8FAE"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Topología</w:t>
            </w:r>
          </w:p>
        </w:tc>
        <w:tc>
          <w:tcPr>
            <w:tcW w:w="0" w:type="auto"/>
            <w:vAlign w:val="center"/>
            <w:hideMark/>
          </w:tcPr>
          <w:p w14:paraId="2403E5E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2D</w:t>
            </w:r>
          </w:p>
        </w:tc>
        <w:tc>
          <w:tcPr>
            <w:tcW w:w="0" w:type="auto"/>
            <w:vAlign w:val="center"/>
            <w:hideMark/>
          </w:tcPr>
          <w:p w14:paraId="44975A4F"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2D wafer</w:t>
            </w:r>
          </w:p>
        </w:tc>
        <w:tc>
          <w:tcPr>
            <w:tcW w:w="0" w:type="auto"/>
            <w:vAlign w:val="center"/>
            <w:hideMark/>
          </w:tcPr>
          <w:p w14:paraId="7D70538D"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2D mesh</w:t>
            </w:r>
          </w:p>
        </w:tc>
        <w:tc>
          <w:tcPr>
            <w:tcW w:w="0" w:type="auto"/>
            <w:vAlign w:val="center"/>
            <w:hideMark/>
          </w:tcPr>
          <w:p w14:paraId="594233AB"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3D ℤ³ con vecindad completa</w:t>
            </w:r>
          </w:p>
        </w:tc>
      </w:tr>
      <w:tr w:rsidR="00374FD9" w:rsidRPr="00374FD9" w14:paraId="0A6D316D" w14:textId="77777777" w:rsidTr="00374FD9">
        <w:trPr>
          <w:tblCellSpacing w:w="15" w:type="dxa"/>
        </w:trPr>
        <w:tc>
          <w:tcPr>
            <w:tcW w:w="0" w:type="auto"/>
            <w:vAlign w:val="center"/>
            <w:hideMark/>
          </w:tcPr>
          <w:p w14:paraId="32800F7C"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Idle Power</w:t>
            </w:r>
          </w:p>
        </w:tc>
        <w:tc>
          <w:tcPr>
            <w:tcW w:w="0" w:type="auto"/>
            <w:vAlign w:val="center"/>
            <w:hideMark/>
          </w:tcPr>
          <w:p w14:paraId="75DED957"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Alto (leakage SRAM)</w:t>
            </w:r>
          </w:p>
        </w:tc>
        <w:tc>
          <w:tcPr>
            <w:tcW w:w="0" w:type="auto"/>
            <w:vAlign w:val="center"/>
            <w:hideMark/>
          </w:tcPr>
          <w:p w14:paraId="0144E1E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Alto</w:t>
            </w:r>
          </w:p>
        </w:tc>
        <w:tc>
          <w:tcPr>
            <w:tcW w:w="0" w:type="auto"/>
            <w:vAlign w:val="center"/>
            <w:hideMark/>
          </w:tcPr>
          <w:p w14:paraId="4A9A579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Medio</w:t>
            </w:r>
          </w:p>
        </w:tc>
        <w:tc>
          <w:tcPr>
            <w:tcW w:w="0" w:type="auto"/>
            <w:vAlign w:val="center"/>
            <w:hideMark/>
          </w:tcPr>
          <w:p w14:paraId="1E1E45EC"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Cercano a cero (cristalización)</w:t>
            </w:r>
          </w:p>
        </w:tc>
      </w:tr>
      <w:tr w:rsidR="00374FD9" w:rsidRPr="00374FD9" w14:paraId="43C99EE0" w14:textId="77777777" w:rsidTr="00374FD9">
        <w:trPr>
          <w:tblCellSpacing w:w="15" w:type="dxa"/>
        </w:trPr>
        <w:tc>
          <w:tcPr>
            <w:tcW w:w="0" w:type="auto"/>
            <w:vAlign w:val="center"/>
            <w:hideMark/>
          </w:tcPr>
          <w:p w14:paraId="1A0DC90A"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Escalabilidad</w:t>
            </w:r>
          </w:p>
        </w:tc>
        <w:tc>
          <w:tcPr>
            <w:tcW w:w="0" w:type="auto"/>
            <w:vAlign w:val="center"/>
            <w:hideMark/>
          </w:tcPr>
          <w:p w14:paraId="1DE63F14"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Software-bound</w:t>
            </w:r>
          </w:p>
        </w:tc>
        <w:tc>
          <w:tcPr>
            <w:tcW w:w="0" w:type="auto"/>
            <w:vAlign w:val="center"/>
            <w:hideMark/>
          </w:tcPr>
          <w:p w14:paraId="250EAFD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Wafer-bound</w:t>
            </w:r>
          </w:p>
        </w:tc>
        <w:tc>
          <w:tcPr>
            <w:tcW w:w="0" w:type="auto"/>
            <w:vAlign w:val="center"/>
            <w:hideMark/>
          </w:tcPr>
          <w:p w14:paraId="3F7BBEB1"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Mesh-bound</w:t>
            </w:r>
          </w:p>
        </w:tc>
        <w:tc>
          <w:tcPr>
            <w:tcW w:w="0" w:type="auto"/>
            <w:vAlign w:val="center"/>
            <w:hideMark/>
          </w:tcPr>
          <w:p w14:paraId="094F570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Lineal volumétrica nativa</w:t>
            </w:r>
          </w:p>
        </w:tc>
      </w:tr>
    </w:tbl>
    <w:p w14:paraId="28E0C53A"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4.2 La Métrica que Rompe el Paradigma</w:t>
      </w:r>
    </w:p>
    <w:p w14:paraId="51FB1158"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La </w:t>
      </w:r>
      <w:r w:rsidRPr="00374FD9">
        <w:rPr>
          <w:rFonts w:ascii="Times New Roman" w:eastAsia="Times New Roman" w:hAnsi="Times New Roman" w:cs="Times New Roman"/>
          <w:b/>
          <w:bCs/>
          <w:sz w:val="24"/>
          <w:szCs w:val="24"/>
          <w:lang w:eastAsia="es-MX"/>
        </w:rPr>
        <w:t>densidad volumétrica de cómputo</w:t>
      </w:r>
      <w:r w:rsidRPr="00374FD9">
        <w:rPr>
          <w:rFonts w:ascii="Times New Roman" w:eastAsia="Times New Roman" w:hAnsi="Times New Roman" w:cs="Times New Roman"/>
          <w:sz w:val="24"/>
          <w:szCs w:val="24"/>
          <w:lang w:eastAsia="es-MX"/>
        </w:rPr>
        <w:t xml:space="preserve"> del IP OKOZAM se expresa en </w:t>
      </w:r>
      <w:r w:rsidRPr="00374FD9">
        <w:rPr>
          <w:rFonts w:ascii="Times New Roman" w:eastAsia="Times New Roman" w:hAnsi="Times New Roman" w:cs="Times New Roman"/>
          <w:b/>
          <w:bCs/>
          <w:sz w:val="24"/>
          <w:szCs w:val="24"/>
          <w:lang w:eastAsia="es-MX"/>
        </w:rPr>
        <w:t>gigabytes de cómputo In-Memory por milímetro cúbico de silicio integrado</w:t>
      </w:r>
      <w:r w:rsidRPr="00374FD9">
        <w:rPr>
          <w:rFonts w:ascii="Times New Roman" w:eastAsia="Times New Roman" w:hAnsi="Times New Roman" w:cs="Times New Roman"/>
          <w:sz w:val="24"/>
          <w:szCs w:val="24"/>
          <w:lang w:eastAsia="es-MX"/>
        </w:rPr>
        <w:t xml:space="preserve">. Esta cifra no admite comparación con arquitecturas 2D porque opera en un dominio dimensional distinto. La interconexión interna agregada de un bloque estándar opera en escala de </w:t>
      </w:r>
      <w:r w:rsidRPr="00374FD9">
        <w:rPr>
          <w:rFonts w:ascii="Times New Roman" w:eastAsia="Times New Roman" w:hAnsi="Times New Roman" w:cs="Times New Roman"/>
          <w:b/>
          <w:bCs/>
          <w:sz w:val="24"/>
          <w:szCs w:val="24"/>
          <w:lang w:eastAsia="es-MX"/>
        </w:rPr>
        <w:t>Exabits por segundo</w:t>
      </w:r>
      <w:r w:rsidRPr="00374FD9">
        <w:rPr>
          <w:rFonts w:ascii="Times New Roman" w:eastAsia="Times New Roman" w:hAnsi="Times New Roman" w:cs="Times New Roman"/>
          <w:sz w:val="24"/>
          <w:szCs w:val="24"/>
          <w:lang w:eastAsia="es-MX"/>
        </w:rPr>
        <w:t>, eliminando funcionalmente la noción de "ancho de banda de memoria".</w:t>
      </w:r>
    </w:p>
    <w:p w14:paraId="27D53D8E"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2B06D392">
          <v:rect id="_x0000_i1032" alt="" style="width:441.8pt;height:.05pt;mso-width-percent:0;mso-height-percent:0;mso-width-percent:0;mso-height-percent:0" o:hrpct="944" o:hralign="center" o:hrstd="t" o:hr="t" fillcolor="#a0a0a0" stroked="f"/>
        </w:pict>
      </w:r>
    </w:p>
    <w:p w14:paraId="3AA7293B"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lastRenderedPageBreak/>
        <w:t>5. PERFIL ESTRATÉGICO DEL ADQUIRENTE</w:t>
      </w:r>
    </w:p>
    <w:p w14:paraId="39E5A290"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OKOZAM tiene encaje natural con cinco perfiles de comprador estratégico:</w:t>
      </w:r>
    </w:p>
    <w:p w14:paraId="399A37E5"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5.1 Hiperescaladores (Cloud Providers)</w:t>
      </w:r>
    </w:p>
    <w:p w14:paraId="6C5F0DE7"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Caso de valor:</w:t>
      </w:r>
      <w:r w:rsidRPr="00374FD9">
        <w:rPr>
          <w:rFonts w:ascii="Times New Roman" w:eastAsia="Times New Roman" w:hAnsi="Times New Roman" w:cs="Times New Roman"/>
          <w:sz w:val="24"/>
          <w:szCs w:val="24"/>
          <w:lang w:eastAsia="es-MX"/>
        </w:rPr>
        <w:t xml:space="preserve"> Diseño de silicio propio para datacenters de IA, reduciendo dependencia de proveedores de GPU y costes de HBM. El IP permite construir aceleradores propietarios optimizados para inferencia, simulación científica y servicios verticalizados (descubrimiento de fármacos, modelado climático, finanzas cuantitativas).</w:t>
      </w:r>
    </w:p>
    <w:p w14:paraId="15A53C39"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5.2 Fabless de Aceleradores</w:t>
      </w:r>
    </w:p>
    <w:p w14:paraId="7F04205C"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Caso de valor:</w:t>
      </w:r>
      <w:r w:rsidRPr="00374FD9">
        <w:rPr>
          <w:rFonts w:ascii="Times New Roman" w:eastAsia="Times New Roman" w:hAnsi="Times New Roman" w:cs="Times New Roman"/>
          <w:sz w:val="24"/>
          <w:szCs w:val="24"/>
          <w:lang w:eastAsia="es-MX"/>
        </w:rPr>
        <w:t xml:space="preserve"> Salto generacional para escapar del techo arquitectónico de las arquitecturas síncronas con HBM. El IP se integra como producto diferenciado dentro del portafolio existente (PCIe Gen 5 drop-in), abriendo segmentos de mercado donde la eficiencia energética es factor decisivo (Edge AI, defensa, aeroespacial).</w:t>
      </w:r>
    </w:p>
    <w:p w14:paraId="5C5A5877"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5.3 IDMs (Integrated Device Manufacturers)</w:t>
      </w:r>
    </w:p>
    <w:p w14:paraId="1100AE91"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Caso de valor:</w:t>
      </w:r>
      <w:r w:rsidRPr="00374FD9">
        <w:rPr>
          <w:rFonts w:ascii="Times New Roman" w:eastAsia="Times New Roman" w:hAnsi="Times New Roman" w:cs="Times New Roman"/>
          <w:sz w:val="24"/>
          <w:szCs w:val="24"/>
          <w:lang w:eastAsia="es-MX"/>
        </w:rPr>
        <w:t xml:space="preserve"> Vertical de integración heterogénea con tecnología propietaria de empaquetado (Foveros, X-Cube). El IP justifica un nuevo bloque de productos empresariales monolíticos sin canibalizar líneas existentes.</w:t>
      </w:r>
    </w:p>
    <w:p w14:paraId="6235A247"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5.4 Foundries (Fabs) Tier-1</w:t>
      </w:r>
    </w:p>
    <w:p w14:paraId="3E9F6113"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Caso de valor:</w:t>
      </w:r>
      <w:r w:rsidRPr="00374FD9">
        <w:rPr>
          <w:rFonts w:ascii="Times New Roman" w:eastAsia="Times New Roman" w:hAnsi="Times New Roman" w:cs="Times New Roman"/>
          <w:sz w:val="24"/>
          <w:szCs w:val="24"/>
          <w:lang w:eastAsia="es-MX"/>
        </w:rPr>
        <w:t xml:space="preserve"> Diferenciación de cartera más allá de la litografía. El proceso ALD para HfO₂ y los flujos 3D-IC ya disponibles encuentran en OKOZAM una aplicación de gama alta que justifica primas de precio sobre nodos avanzados.</w:t>
      </w:r>
    </w:p>
    <w:p w14:paraId="035BE33B"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5.5 Programas Soberanos / Defensa / Investigación Estratégica</w:t>
      </w:r>
    </w:p>
    <w:p w14:paraId="7729134A"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Caso de valor:</w:t>
      </w:r>
      <w:r w:rsidRPr="00374FD9">
        <w:rPr>
          <w:rFonts w:ascii="Times New Roman" w:eastAsia="Times New Roman" w:hAnsi="Times New Roman" w:cs="Times New Roman"/>
          <w:sz w:val="24"/>
          <w:szCs w:val="24"/>
          <w:lang w:eastAsia="es-MX"/>
        </w:rPr>
        <w:t xml:space="preserve"> Adquisición de un activo arquitectónico independiente del ecosistema dominante, con aplicaciones directas en cómputo seguro, criptografía topológica resistente al cómputo cuántico, simulación balística y modelado de sistemas complejos. La asincronía y la estructura no-Von Neumann ofrecen ventajas inherentes en resistencia a side-channel attacks.</w:t>
      </w:r>
    </w:p>
    <w:p w14:paraId="7DD5FB4F"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3E4AFEAA">
          <v:rect id="_x0000_i1031" alt="" style="width:441.8pt;height:.05pt;mso-width-percent:0;mso-height-percent:0;mso-width-percent:0;mso-height-percent:0" o:hrpct="944" o:hralign="center" o:hrstd="t" o:hr="t" fillcolor="#a0a0a0" stroked="f"/>
        </w:pict>
      </w:r>
    </w:p>
    <w:p w14:paraId="1517089A"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6. ANÁLISIS DE TRANSACCIONES COMPARABLES</w:t>
      </w:r>
    </w:p>
    <w:p w14:paraId="2FB1BC03"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Para contextualizar el rango de valuación de un activo de propiedad intelectual de esta naturaleza, se observan las siguientes transacciones recientes en el espacio de IP de aceleración computacional: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3126"/>
        <w:gridCol w:w="2109"/>
      </w:tblGrid>
      <w:tr w:rsidR="00374FD9" w:rsidRPr="00374FD9" w14:paraId="2B064FDD" w14:textId="77777777" w:rsidTr="00374FD9">
        <w:trPr>
          <w:tblHeader/>
          <w:tblCellSpacing w:w="15" w:type="dxa"/>
        </w:trPr>
        <w:tc>
          <w:tcPr>
            <w:tcW w:w="0" w:type="auto"/>
            <w:vAlign w:val="center"/>
            <w:hideMark/>
          </w:tcPr>
          <w:p w14:paraId="50867E2E"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lastRenderedPageBreak/>
              <w:t>Transacción</w:t>
            </w:r>
          </w:p>
        </w:tc>
        <w:tc>
          <w:tcPr>
            <w:tcW w:w="0" w:type="auto"/>
            <w:vAlign w:val="center"/>
            <w:hideMark/>
          </w:tcPr>
          <w:p w14:paraId="52A3824D"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Naturaleza</w:t>
            </w:r>
          </w:p>
        </w:tc>
        <w:tc>
          <w:tcPr>
            <w:tcW w:w="0" w:type="auto"/>
            <w:vAlign w:val="center"/>
            <w:hideMark/>
          </w:tcPr>
          <w:p w14:paraId="65CAAAC6"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Monto Aproximado</w:t>
            </w:r>
          </w:p>
        </w:tc>
      </w:tr>
      <w:tr w:rsidR="00374FD9" w:rsidRPr="00374FD9" w14:paraId="66500561" w14:textId="77777777" w:rsidTr="00374FD9">
        <w:trPr>
          <w:tblCellSpacing w:w="15" w:type="dxa"/>
        </w:trPr>
        <w:tc>
          <w:tcPr>
            <w:tcW w:w="0" w:type="auto"/>
            <w:vAlign w:val="center"/>
            <w:hideMark/>
          </w:tcPr>
          <w:p w14:paraId="2C329446"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Annapurna Labs → AWS</w:t>
            </w:r>
          </w:p>
        </w:tc>
        <w:tc>
          <w:tcPr>
            <w:tcW w:w="0" w:type="auto"/>
            <w:vAlign w:val="center"/>
            <w:hideMark/>
          </w:tcPr>
          <w:p w14:paraId="2B6F03BE"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IP de aceleración + equipo</w:t>
            </w:r>
          </w:p>
        </w:tc>
        <w:tc>
          <w:tcPr>
            <w:tcW w:w="0" w:type="auto"/>
            <w:vAlign w:val="center"/>
            <w:hideMark/>
          </w:tcPr>
          <w:p w14:paraId="5CEF6058"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~$350M USD</w:t>
            </w:r>
          </w:p>
        </w:tc>
      </w:tr>
      <w:tr w:rsidR="00374FD9" w:rsidRPr="00374FD9" w14:paraId="5F3A117C" w14:textId="77777777" w:rsidTr="00374FD9">
        <w:trPr>
          <w:tblCellSpacing w:w="15" w:type="dxa"/>
        </w:trPr>
        <w:tc>
          <w:tcPr>
            <w:tcW w:w="0" w:type="auto"/>
            <w:vAlign w:val="center"/>
            <w:hideMark/>
          </w:tcPr>
          <w:p w14:paraId="26EB4C48"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Habana Labs → Intel</w:t>
            </w:r>
          </w:p>
        </w:tc>
        <w:tc>
          <w:tcPr>
            <w:tcW w:w="0" w:type="auto"/>
            <w:vAlign w:val="center"/>
            <w:hideMark/>
          </w:tcPr>
          <w:p w14:paraId="2BDA2B2B"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IP de IA + equipo</w:t>
            </w:r>
          </w:p>
        </w:tc>
        <w:tc>
          <w:tcPr>
            <w:tcW w:w="0" w:type="auto"/>
            <w:vAlign w:val="center"/>
            <w:hideMark/>
          </w:tcPr>
          <w:p w14:paraId="6BB6CF4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~$2,000M USD</w:t>
            </w:r>
          </w:p>
        </w:tc>
      </w:tr>
      <w:tr w:rsidR="00374FD9" w:rsidRPr="00374FD9" w14:paraId="16611D7D" w14:textId="77777777" w:rsidTr="00374FD9">
        <w:trPr>
          <w:tblCellSpacing w:w="15" w:type="dxa"/>
        </w:trPr>
        <w:tc>
          <w:tcPr>
            <w:tcW w:w="0" w:type="auto"/>
            <w:vAlign w:val="center"/>
            <w:hideMark/>
          </w:tcPr>
          <w:p w14:paraId="51BD9B49"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Mellanox → NVIDIA</w:t>
            </w:r>
          </w:p>
        </w:tc>
        <w:tc>
          <w:tcPr>
            <w:tcW w:w="0" w:type="auto"/>
            <w:vAlign w:val="center"/>
            <w:hideMark/>
          </w:tcPr>
          <w:p w14:paraId="71FB262B"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IP de interconexión</w:t>
            </w:r>
          </w:p>
        </w:tc>
        <w:tc>
          <w:tcPr>
            <w:tcW w:w="0" w:type="auto"/>
            <w:vAlign w:val="center"/>
            <w:hideMark/>
          </w:tcPr>
          <w:p w14:paraId="4AF439FB"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~$6,900M USD</w:t>
            </w:r>
          </w:p>
        </w:tc>
      </w:tr>
      <w:tr w:rsidR="00374FD9" w:rsidRPr="00374FD9" w14:paraId="0C3C7404" w14:textId="77777777" w:rsidTr="00374FD9">
        <w:trPr>
          <w:tblCellSpacing w:w="15" w:type="dxa"/>
        </w:trPr>
        <w:tc>
          <w:tcPr>
            <w:tcW w:w="0" w:type="auto"/>
            <w:vAlign w:val="center"/>
            <w:hideMark/>
          </w:tcPr>
          <w:p w14:paraId="26B50CF1"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Nervana → Intel</w:t>
            </w:r>
          </w:p>
        </w:tc>
        <w:tc>
          <w:tcPr>
            <w:tcW w:w="0" w:type="auto"/>
            <w:vAlign w:val="center"/>
            <w:hideMark/>
          </w:tcPr>
          <w:p w14:paraId="0ABE4CCD"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IP de aceleración</w:t>
            </w:r>
          </w:p>
        </w:tc>
        <w:tc>
          <w:tcPr>
            <w:tcW w:w="0" w:type="auto"/>
            <w:vAlign w:val="center"/>
            <w:hideMark/>
          </w:tcPr>
          <w:p w14:paraId="4195006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~$408M USD</w:t>
            </w:r>
          </w:p>
        </w:tc>
      </w:tr>
      <w:tr w:rsidR="00374FD9" w:rsidRPr="00374FD9" w14:paraId="0FFC5F6C" w14:textId="77777777" w:rsidTr="00374FD9">
        <w:trPr>
          <w:tblCellSpacing w:w="15" w:type="dxa"/>
        </w:trPr>
        <w:tc>
          <w:tcPr>
            <w:tcW w:w="0" w:type="auto"/>
            <w:vAlign w:val="center"/>
            <w:hideMark/>
          </w:tcPr>
          <w:p w14:paraId="063B6AB7"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ARM IPO (NASDAQ)</w:t>
            </w:r>
          </w:p>
        </w:tc>
        <w:tc>
          <w:tcPr>
            <w:tcW w:w="0" w:type="auto"/>
            <w:vAlign w:val="center"/>
            <w:hideMark/>
          </w:tcPr>
          <w:p w14:paraId="307996DE"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Modelo de licenciamiento de IP</w:t>
            </w:r>
          </w:p>
        </w:tc>
        <w:tc>
          <w:tcPr>
            <w:tcW w:w="0" w:type="auto"/>
            <w:vAlign w:val="center"/>
            <w:hideMark/>
          </w:tcPr>
          <w:p w14:paraId="439D98D1"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$60,000M+ USD</w:t>
            </w:r>
          </w:p>
        </w:tc>
      </w:tr>
    </w:tbl>
    <w:p w14:paraId="5FE56F60"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Este es el </w:t>
      </w:r>
      <w:r w:rsidRPr="00374FD9">
        <w:rPr>
          <w:rFonts w:ascii="Times New Roman" w:eastAsia="Times New Roman" w:hAnsi="Times New Roman" w:cs="Times New Roman"/>
          <w:b/>
          <w:bCs/>
          <w:sz w:val="24"/>
          <w:szCs w:val="24"/>
          <w:lang w:eastAsia="es-MX"/>
        </w:rPr>
        <w:t>rango competitivo de referencia</w:t>
      </w:r>
      <w:r w:rsidRPr="00374FD9">
        <w:rPr>
          <w:rFonts w:ascii="Times New Roman" w:eastAsia="Times New Roman" w:hAnsi="Times New Roman" w:cs="Times New Roman"/>
          <w:sz w:val="24"/>
          <w:szCs w:val="24"/>
          <w:lang w:eastAsia="es-MX"/>
        </w:rPr>
        <w:t xml:space="preserve"> para activos arquitectónicos profundos cuyo impacto trasciende un solo producto. OKOZAM se posiciona en la categoría de </w:t>
      </w:r>
      <w:r w:rsidRPr="00374FD9">
        <w:rPr>
          <w:rFonts w:ascii="Times New Roman" w:eastAsia="Times New Roman" w:hAnsi="Times New Roman" w:cs="Times New Roman"/>
          <w:b/>
          <w:bCs/>
          <w:sz w:val="24"/>
          <w:szCs w:val="24"/>
          <w:lang w:eastAsia="es-MX"/>
        </w:rPr>
        <w:t>IP fundamental</w:t>
      </w:r>
      <w:r w:rsidRPr="00374FD9">
        <w:rPr>
          <w:rFonts w:ascii="Times New Roman" w:eastAsia="Times New Roman" w:hAnsi="Times New Roman" w:cs="Times New Roman"/>
          <w:sz w:val="24"/>
          <w:szCs w:val="24"/>
          <w:lang w:eastAsia="es-MX"/>
        </w:rPr>
        <w:t xml:space="preserve"> </w:t>
      </w:r>
      <w:bookmarkStart w:id="0" w:name="OLE_LINK1"/>
      <w:r w:rsidRPr="00374FD9">
        <w:rPr>
          <w:rFonts w:ascii="Times New Roman" w:eastAsia="Times New Roman" w:hAnsi="Times New Roman" w:cs="Times New Roman"/>
          <w:sz w:val="24"/>
          <w:szCs w:val="24"/>
          <w:lang w:eastAsia="es-MX"/>
        </w:rPr>
        <w:t>—</w:t>
      </w:r>
      <w:bookmarkEnd w:id="0"/>
      <w:r w:rsidRPr="00374FD9">
        <w:rPr>
          <w:rFonts w:ascii="Times New Roman" w:eastAsia="Times New Roman" w:hAnsi="Times New Roman" w:cs="Times New Roman"/>
          <w:sz w:val="24"/>
          <w:szCs w:val="24"/>
          <w:lang w:eastAsia="es-MX"/>
        </w:rPr>
        <w:t>análoga al licenciamiento de arquitecturas instruccionales (ISA)— por su capacidad de generar líneas completas de productos derivados.</w:t>
      </w:r>
    </w:p>
    <w:p w14:paraId="7FEE981A"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5DB5A60F">
          <v:rect id="_x0000_i1030" alt="" style="width:441.8pt;height:.05pt;mso-width-percent:0;mso-height-percent:0;mso-width-percent:0;mso-height-percent:0" o:hrpct="944" o:hralign="center" o:hrstd="t" o:hr="t" fillcolor="#a0a0a0" stroked="f"/>
        </w:pict>
      </w:r>
    </w:p>
    <w:p w14:paraId="7F4E22AA"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7. PORTAFOLIO DE PROPIEDAD INTELECTUAL DEFENDIBLE</w:t>
      </w:r>
    </w:p>
    <w:p w14:paraId="7394D275"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El activo OKOZAM se sostiene sobre un portafolio de IP estratificado, con múltiples vectores patentables independientes que en conjunto crean una barrera de entrada técnica de muy alta complejidad:</w:t>
      </w:r>
    </w:p>
    <w:p w14:paraId="2F5AD8B4"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7.1 Capas de Protección</w:t>
      </w:r>
    </w:p>
    <w:p w14:paraId="4B383127" w14:textId="77777777" w:rsidR="00374FD9" w:rsidRPr="00374FD9" w:rsidRDefault="00374FD9" w:rsidP="00374F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Patentes de Arquitectura Lógica:</w:t>
      </w:r>
      <w:r w:rsidRPr="00374FD9">
        <w:rPr>
          <w:rFonts w:ascii="Times New Roman" w:eastAsia="Times New Roman" w:hAnsi="Times New Roman" w:cs="Times New Roman"/>
          <w:sz w:val="24"/>
          <w:szCs w:val="24"/>
          <w:lang w:eastAsia="es-MX"/>
        </w:rPr>
        <w:t xml:space="preserve"> topología asíncrona con vecindad geométrica completa en ℤ³ y cristalización por simetría vectorial.</w:t>
      </w:r>
    </w:p>
    <w:p w14:paraId="45C2951C" w14:textId="77777777" w:rsidR="00374FD9" w:rsidRPr="00374FD9" w:rsidRDefault="00374FD9" w:rsidP="00374F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Patentes de Materiales:</w:t>
      </w:r>
      <w:r w:rsidRPr="00374FD9">
        <w:rPr>
          <w:rFonts w:ascii="Times New Roman" w:eastAsia="Times New Roman" w:hAnsi="Times New Roman" w:cs="Times New Roman"/>
          <w:sz w:val="24"/>
          <w:szCs w:val="24"/>
          <w:lang w:eastAsia="es-MX"/>
        </w:rPr>
        <w:t xml:space="preserve"> especificación geométrica del stack memristor multicapa para suprimir RTN y forzar comportamiento determinista del Phase Lock físico.</w:t>
      </w:r>
    </w:p>
    <w:p w14:paraId="54DF3B3F" w14:textId="77777777" w:rsidR="00374FD9" w:rsidRPr="00374FD9" w:rsidRDefault="00374FD9" w:rsidP="00374F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Patentes de Algoritmos Termodinámicos:</w:t>
      </w:r>
      <w:r w:rsidRPr="00374FD9">
        <w:rPr>
          <w:rFonts w:ascii="Times New Roman" w:eastAsia="Times New Roman" w:hAnsi="Times New Roman" w:cs="Times New Roman"/>
          <w:sz w:val="24"/>
          <w:szCs w:val="24"/>
          <w:lang w:eastAsia="es-MX"/>
        </w:rPr>
        <w:t xml:space="preserve"> condiciones de bloqueo de fase y reglas de enrutamiento por conductancia topológica.</w:t>
      </w:r>
    </w:p>
    <w:p w14:paraId="12F0C531" w14:textId="77777777" w:rsidR="00374FD9" w:rsidRPr="00374FD9" w:rsidRDefault="00374FD9" w:rsidP="00374F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Patentes de Protocolo:</w:t>
      </w:r>
      <w:r w:rsidRPr="00374FD9">
        <w:rPr>
          <w:rFonts w:ascii="Times New Roman" w:eastAsia="Times New Roman" w:hAnsi="Times New Roman" w:cs="Times New Roman"/>
          <w:sz w:val="24"/>
          <w:szCs w:val="24"/>
          <w:lang w:eastAsia="es-MX"/>
        </w:rPr>
        <w:t xml:space="preserve"> método de Boundary Scan DEE para ingestión perimetral y extracción tomográfica por impedancia.</w:t>
      </w:r>
    </w:p>
    <w:p w14:paraId="39C9B275" w14:textId="77777777" w:rsidR="00374FD9" w:rsidRPr="00374FD9" w:rsidRDefault="00374FD9" w:rsidP="00374F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Secretos Industriales:</w:t>
      </w:r>
      <w:r w:rsidRPr="00374FD9">
        <w:rPr>
          <w:rFonts w:ascii="Times New Roman" w:eastAsia="Times New Roman" w:hAnsi="Times New Roman" w:cs="Times New Roman"/>
          <w:sz w:val="24"/>
          <w:szCs w:val="24"/>
          <w:lang w:eastAsia="es-MX"/>
        </w:rPr>
        <w:t xml:space="preserve"> constantes termodinámicas del firmware de estado sólido, recetas exactas de deposición ALD y proporciones de estrés geométrico optimizadas — entregadas únicamente al adquirente bajo NDA vinculante.</w:t>
      </w:r>
    </w:p>
    <w:p w14:paraId="09CFFB30"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7.2 Defensibilidad Frente a Reverse Engineering</w:t>
      </w:r>
    </w:p>
    <w:p w14:paraId="0AE41B43"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comportamiento del Procesador OKOZAM es macroscópicamente observable pero </w:t>
      </w:r>
      <w:r w:rsidRPr="00374FD9">
        <w:rPr>
          <w:rFonts w:ascii="Times New Roman" w:eastAsia="Times New Roman" w:hAnsi="Times New Roman" w:cs="Times New Roman"/>
          <w:b/>
          <w:bCs/>
          <w:sz w:val="24"/>
          <w:szCs w:val="24"/>
          <w:lang w:eastAsia="es-MX"/>
        </w:rPr>
        <w:t>algorítmicamente irreversible</w:t>
      </w:r>
      <w:r w:rsidRPr="00374FD9">
        <w:rPr>
          <w:rFonts w:ascii="Times New Roman" w:eastAsia="Times New Roman" w:hAnsi="Times New Roman" w:cs="Times New Roman"/>
          <w:sz w:val="24"/>
          <w:szCs w:val="24"/>
          <w:lang w:eastAsia="es-MX"/>
        </w:rPr>
        <w:t>. La conjunción de constantes termodinámicas específicas, proporciones geométricas del stack y reglas de simetría vectorial define un espacio de configuración de altísima dimensionalidad. La replicación funcional sin acceso al know-how integrado requiere reinventar el descubrimiento original — una barrera práctica equivalente a la imposibilidad.</w:t>
      </w:r>
    </w:p>
    <w:p w14:paraId="6BF67D01"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lastRenderedPageBreak/>
        <w:pict w14:anchorId="4A51362A">
          <v:rect id="_x0000_i1029" alt="" style="width:441.8pt;height:.05pt;mso-width-percent:0;mso-height-percent:0;mso-width-percent:0;mso-height-percent:0" o:hrpct="944" o:hralign="center" o:hrstd="t" o:hr="t" fillcolor="#a0a0a0" stroked="f"/>
        </w:pict>
      </w:r>
    </w:p>
    <w:p w14:paraId="6A267AE2"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8. EVIDENCIA DE VALIDACIÓN</w:t>
      </w:r>
    </w:p>
    <w:p w14:paraId="6145231D"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8.1 Validación en Silicio Reconfigurable (FPGA)</w:t>
      </w:r>
    </w:p>
    <w:p w14:paraId="346108C5"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núcleo lógico del Vóxel Topológico ha sido sintetizado en </w:t>
      </w:r>
      <w:r w:rsidRPr="00374FD9">
        <w:rPr>
          <w:rFonts w:ascii="Times New Roman" w:eastAsia="Times New Roman" w:hAnsi="Times New Roman" w:cs="Times New Roman"/>
          <w:b/>
          <w:bCs/>
          <w:sz w:val="24"/>
          <w:szCs w:val="24"/>
          <w:lang w:eastAsia="es-MX"/>
        </w:rPr>
        <w:t>Verilog RTL</w:t>
      </w:r>
      <w:r w:rsidRPr="00374FD9">
        <w:rPr>
          <w:rFonts w:ascii="Times New Roman" w:eastAsia="Times New Roman" w:hAnsi="Times New Roman" w:cs="Times New Roman"/>
          <w:sz w:val="24"/>
          <w:szCs w:val="24"/>
          <w:lang w:eastAsia="es-MX"/>
        </w:rPr>
        <w:t xml:space="preserve"> y desplegado satisfactoriamente en </w:t>
      </w:r>
      <w:r w:rsidRPr="00374FD9">
        <w:rPr>
          <w:rFonts w:ascii="Times New Roman" w:eastAsia="Times New Roman" w:hAnsi="Times New Roman" w:cs="Times New Roman"/>
          <w:b/>
          <w:bCs/>
          <w:sz w:val="24"/>
          <w:szCs w:val="24"/>
          <w:lang w:eastAsia="es-MX"/>
        </w:rPr>
        <w:t>FPGA Xilinx Artix-7 (familia 7-Series)</w:t>
      </w:r>
      <w:r w:rsidRPr="00374FD9">
        <w:rPr>
          <w:rFonts w:ascii="Times New Roman" w:eastAsia="Times New Roman" w:hAnsi="Times New Roman" w:cs="Times New Roman"/>
          <w:sz w:val="24"/>
          <w:szCs w:val="24"/>
          <w:lang w:eastAsia="es-MX"/>
        </w:rPr>
        <w:t>, demostrando empíricamente:</w:t>
      </w:r>
    </w:p>
    <w:p w14:paraId="099A435D" w14:textId="77777777" w:rsidR="00374FD9" w:rsidRPr="00374FD9" w:rsidRDefault="00374FD9" w:rsidP="00374F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Segoe UI Emoji" w:eastAsia="Times New Roman" w:hAnsi="Segoe UI Emoji" w:cs="Segoe UI Emoji"/>
          <w:sz w:val="24"/>
          <w:szCs w:val="24"/>
          <w:lang w:eastAsia="es-MX"/>
        </w:rPr>
        <w:t>✅</w:t>
      </w:r>
      <w:r w:rsidRPr="00374FD9">
        <w:rPr>
          <w:rFonts w:ascii="Times New Roman" w:eastAsia="Times New Roman" w:hAnsi="Times New Roman" w:cs="Times New Roman"/>
          <w:sz w:val="24"/>
          <w:szCs w:val="24"/>
          <w:lang w:eastAsia="es-MX"/>
        </w:rPr>
        <w:t xml:space="preserve"> Inyección controlada y cíclica de entropía termodinámica.</w:t>
      </w:r>
    </w:p>
    <w:p w14:paraId="7E16F96F" w14:textId="77777777" w:rsidR="00374FD9" w:rsidRPr="00374FD9" w:rsidRDefault="00374FD9" w:rsidP="00374F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Segoe UI Emoji" w:eastAsia="Times New Roman" w:hAnsi="Segoe UI Emoji" w:cs="Segoe UI Emoji"/>
          <w:sz w:val="24"/>
          <w:szCs w:val="24"/>
          <w:lang w:eastAsia="es-MX"/>
        </w:rPr>
        <w:t>✅</w:t>
      </w:r>
      <w:r w:rsidRPr="00374FD9">
        <w:rPr>
          <w:rFonts w:ascii="Times New Roman" w:eastAsia="Times New Roman" w:hAnsi="Times New Roman" w:cs="Times New Roman"/>
          <w:sz w:val="24"/>
          <w:szCs w:val="24"/>
          <w:lang w:eastAsia="es-MX"/>
        </w:rPr>
        <w:t xml:space="preserve"> Cálculo determinista de la condición de conectividad.</w:t>
      </w:r>
    </w:p>
    <w:p w14:paraId="526C0F6F" w14:textId="77777777" w:rsidR="00374FD9" w:rsidRPr="00374FD9" w:rsidRDefault="00374FD9" w:rsidP="00374F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Segoe UI Emoji" w:eastAsia="Times New Roman" w:hAnsi="Segoe UI Emoji" w:cs="Segoe UI Emoji"/>
          <w:sz w:val="24"/>
          <w:szCs w:val="24"/>
          <w:lang w:eastAsia="es-MX"/>
        </w:rPr>
        <w:t>✅</w:t>
      </w:r>
      <w:r w:rsidRPr="00374FD9">
        <w:rPr>
          <w:rFonts w:ascii="Times New Roman" w:eastAsia="Times New Roman" w:hAnsi="Times New Roman" w:cs="Times New Roman"/>
          <w:sz w:val="24"/>
          <w:szCs w:val="24"/>
          <w:lang w:eastAsia="es-MX"/>
        </w:rPr>
        <w:t xml:space="preserve"> Detección funcional de simetría vectorial mediante red de comparadores XNOR.</w:t>
      </w:r>
    </w:p>
    <w:p w14:paraId="1698F5C3" w14:textId="77777777" w:rsidR="00374FD9" w:rsidRPr="00374FD9" w:rsidRDefault="00374FD9" w:rsidP="00374F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Segoe UI Emoji" w:eastAsia="Times New Roman" w:hAnsi="Segoe UI Emoji" w:cs="Segoe UI Emoji"/>
          <w:sz w:val="24"/>
          <w:szCs w:val="24"/>
          <w:lang w:eastAsia="es-MX"/>
        </w:rPr>
        <w:t>✅</w:t>
      </w:r>
      <w:r w:rsidRPr="00374FD9">
        <w:rPr>
          <w:rFonts w:ascii="Times New Roman" w:eastAsia="Times New Roman" w:hAnsi="Times New Roman" w:cs="Times New Roman"/>
          <w:sz w:val="24"/>
          <w:szCs w:val="24"/>
          <w:lang w:eastAsia="es-MX"/>
        </w:rPr>
        <w:t xml:space="preserve"> Activación correcta del flag Phase Lock bajo las condiciones esperadas.</w:t>
      </w:r>
    </w:p>
    <w:p w14:paraId="0518E48E" w14:textId="77777777" w:rsidR="00374FD9" w:rsidRPr="00374FD9" w:rsidRDefault="00374FD9" w:rsidP="00374F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Segoe UI Emoji" w:eastAsia="Times New Roman" w:hAnsi="Segoe UI Emoji" w:cs="Segoe UI Emoji"/>
          <w:sz w:val="24"/>
          <w:szCs w:val="24"/>
          <w:lang w:eastAsia="es-MX"/>
        </w:rPr>
        <w:t>✅</w:t>
      </w:r>
      <w:r w:rsidRPr="00374FD9">
        <w:rPr>
          <w:rFonts w:ascii="Times New Roman" w:eastAsia="Times New Roman" w:hAnsi="Times New Roman" w:cs="Times New Roman"/>
          <w:sz w:val="24"/>
          <w:szCs w:val="24"/>
          <w:lang w:eastAsia="es-MX"/>
        </w:rPr>
        <w:t xml:space="preserve"> Estabilidad de la cristalización tras la ventana de inyección.</w:t>
      </w:r>
    </w:p>
    <w:p w14:paraId="2704BD3B" w14:textId="77777777" w:rsidR="00374FD9" w:rsidRPr="00374FD9" w:rsidRDefault="00374FD9" w:rsidP="00374F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Segoe UI Emoji" w:eastAsia="Times New Roman" w:hAnsi="Segoe UI Emoji" w:cs="Segoe UI Emoji"/>
          <w:sz w:val="24"/>
          <w:szCs w:val="24"/>
          <w:lang w:eastAsia="es-MX"/>
        </w:rPr>
        <w:t>✅</w:t>
      </w:r>
      <w:r w:rsidRPr="00374FD9">
        <w:rPr>
          <w:rFonts w:ascii="Times New Roman" w:eastAsia="Times New Roman" w:hAnsi="Times New Roman" w:cs="Times New Roman"/>
          <w:sz w:val="24"/>
          <w:szCs w:val="24"/>
          <w:lang w:eastAsia="es-MX"/>
        </w:rPr>
        <w:t xml:space="preserve"> Telemetría serial validada hacia software anfitrión externo.</w:t>
      </w:r>
    </w:p>
    <w:p w14:paraId="7BDC4943"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Esta validación constituye </w:t>
      </w:r>
      <w:r w:rsidRPr="00374FD9">
        <w:rPr>
          <w:rFonts w:ascii="Times New Roman" w:eastAsia="Times New Roman" w:hAnsi="Times New Roman" w:cs="Times New Roman"/>
          <w:b/>
          <w:bCs/>
          <w:sz w:val="24"/>
          <w:szCs w:val="24"/>
          <w:lang w:eastAsia="es-MX"/>
        </w:rPr>
        <w:t>prueba experimental de viabilidad arquitectónica</w:t>
      </w:r>
      <w:r w:rsidRPr="00374FD9">
        <w:rPr>
          <w:rFonts w:ascii="Times New Roman" w:eastAsia="Times New Roman" w:hAnsi="Times New Roman" w:cs="Times New Roman"/>
          <w:sz w:val="24"/>
          <w:szCs w:val="24"/>
          <w:lang w:eastAsia="es-MX"/>
        </w:rPr>
        <w:t>. La extensión a una matriz funcional completa requiere instanciación replicada del módulo —una operación de routing y P&amp;R, no una reinvención conceptual.</w:t>
      </w:r>
    </w:p>
    <w:p w14:paraId="4CF37E75"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8.2 Validación Matemática</w:t>
      </w:r>
    </w:p>
    <w:p w14:paraId="344736BB"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bookmarkStart w:id="1" w:name="OLE_LINK2"/>
      <w:r w:rsidRPr="00374FD9">
        <w:rPr>
          <w:rFonts w:ascii="Times New Roman" w:eastAsia="Times New Roman" w:hAnsi="Times New Roman" w:cs="Times New Roman"/>
          <w:sz w:val="24"/>
          <w:szCs w:val="24"/>
          <w:lang w:eastAsia="es-MX"/>
        </w:rPr>
        <w:t>Las ecuaciones del firmware de estado sólido están sustentadas en:</w:t>
      </w:r>
    </w:p>
    <w:p w14:paraId="2B0B70D0" w14:textId="77777777" w:rsidR="00374FD9" w:rsidRPr="00374FD9" w:rsidRDefault="00374FD9" w:rsidP="00374F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Termodinámica clásica de sistemas cerrados.</w:t>
      </w:r>
    </w:p>
    <w:p w14:paraId="70F39CF9" w14:textId="77777777" w:rsidR="00374FD9" w:rsidRPr="00374FD9" w:rsidRDefault="00374FD9" w:rsidP="00374F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Mecánica estadística de redes de spin (analogía Ising-Heisenberg generalizada).</w:t>
      </w:r>
    </w:p>
    <w:p w14:paraId="4CD9EC40" w14:textId="77777777" w:rsidR="00374FD9" w:rsidRPr="00374FD9" w:rsidRDefault="00374FD9" w:rsidP="00374F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Teoría de autómatas celulares en retículas tridimensionales.</w:t>
      </w:r>
    </w:p>
    <w:p w14:paraId="5F492D63" w14:textId="77777777" w:rsidR="00374FD9" w:rsidRPr="00374FD9" w:rsidRDefault="00374FD9" w:rsidP="00374F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Geometría discreta de la vecindad de Moore.</w:t>
      </w:r>
    </w:p>
    <w:p w14:paraId="155F1C83"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comportamiento del modelo es </w:t>
      </w:r>
      <w:r w:rsidRPr="00374FD9">
        <w:rPr>
          <w:rFonts w:ascii="Times New Roman" w:eastAsia="Times New Roman" w:hAnsi="Times New Roman" w:cs="Times New Roman"/>
          <w:b/>
          <w:bCs/>
          <w:sz w:val="24"/>
          <w:szCs w:val="24"/>
          <w:lang w:eastAsia="es-MX"/>
        </w:rPr>
        <w:t>analíticamente acotado</w:t>
      </w:r>
      <w:r w:rsidRPr="00374FD9">
        <w:rPr>
          <w:rFonts w:ascii="Times New Roman" w:eastAsia="Times New Roman" w:hAnsi="Times New Roman" w:cs="Times New Roman"/>
          <w:sz w:val="24"/>
          <w:szCs w:val="24"/>
          <w:lang w:eastAsia="es-MX"/>
        </w:rPr>
        <w:t xml:space="preserve"> y </w:t>
      </w:r>
      <w:r w:rsidRPr="00374FD9">
        <w:rPr>
          <w:rFonts w:ascii="Times New Roman" w:eastAsia="Times New Roman" w:hAnsi="Times New Roman" w:cs="Times New Roman"/>
          <w:b/>
          <w:bCs/>
          <w:sz w:val="24"/>
          <w:szCs w:val="24"/>
          <w:lang w:eastAsia="es-MX"/>
        </w:rPr>
        <w:t>numéricamente determinista</w:t>
      </w:r>
      <w:r w:rsidRPr="00374FD9">
        <w:rPr>
          <w:rFonts w:ascii="Times New Roman" w:eastAsia="Times New Roman" w:hAnsi="Times New Roman" w:cs="Times New Roman"/>
          <w:sz w:val="24"/>
          <w:szCs w:val="24"/>
          <w:lang w:eastAsia="es-MX"/>
        </w:rPr>
        <w:t>, propiedad indispensable para implementación en hardware.</w:t>
      </w:r>
    </w:p>
    <w:bookmarkEnd w:id="1"/>
    <w:p w14:paraId="7CD5967E"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8.3 Sustentación Científica de los Materiales</w:t>
      </w:r>
    </w:p>
    <w:p w14:paraId="28FB55DD"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La elección del HfO₂ como sustrato ReRAM se fundamenta en literatura científica revisada por pares y en procesos de Atomic Layer Deposition (ALD) ya estandarizados en la industria. La especificación geométrica propietaria opera dentro del régimen físico documentado para dichos materiales.</w:t>
      </w:r>
    </w:p>
    <w:p w14:paraId="4D19BCF3"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6711B500">
          <v:rect id="_x0000_i1028" alt="" style="width:441.8pt;height:.05pt;mso-width-percent:0;mso-height-percent:0;mso-width-percent:0;mso-height-percent:0" o:hrpct="944" o:hralign="center" o:hrstd="t" o:hr="t" fillcolor="#a0a0a0" stroked="f"/>
        </w:pict>
      </w:r>
    </w:p>
    <w:p w14:paraId="6F72A2EC"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9. MODELO DE TRANSFERENCIA TECNOLÓGICA Y COMPATIBILIDAD DE ECOSISTEMA</w:t>
      </w:r>
    </w:p>
    <w:p w14:paraId="1BE1201D"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lastRenderedPageBreak/>
        <w:t>9.1 Compatibilidad Industrial (Exit Strategy)</w:t>
      </w:r>
    </w:p>
    <w:p w14:paraId="2699AD10"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valor de adquisición de la IP OKOZAM radica en su diseño </w:t>
      </w:r>
      <w:r w:rsidRPr="00374FD9">
        <w:rPr>
          <w:rFonts w:ascii="Times New Roman" w:eastAsia="Times New Roman" w:hAnsi="Times New Roman" w:cs="Times New Roman"/>
          <w:b/>
          <w:bCs/>
          <w:sz w:val="24"/>
          <w:szCs w:val="24"/>
          <w:lang w:eastAsia="es-MX"/>
        </w:rPr>
        <w:t>"Drop-In"</w:t>
      </w:r>
      <w:r w:rsidRPr="00374FD9">
        <w:rPr>
          <w:rFonts w:ascii="Times New Roman" w:eastAsia="Times New Roman" w:hAnsi="Times New Roman" w:cs="Times New Roman"/>
          <w:sz w:val="24"/>
          <w:szCs w:val="24"/>
          <w:lang w:eastAsia="es-MX"/>
        </w:rPr>
        <w:t xml:space="preserve"> (listo para integración). El adquirente </w:t>
      </w:r>
      <w:r w:rsidRPr="00374FD9">
        <w:rPr>
          <w:rFonts w:ascii="Times New Roman" w:eastAsia="Times New Roman" w:hAnsi="Times New Roman" w:cs="Times New Roman"/>
          <w:b/>
          <w:bCs/>
          <w:sz w:val="24"/>
          <w:szCs w:val="24"/>
          <w:lang w:eastAsia="es-MX"/>
        </w:rPr>
        <w:t>no requiere reinventar la cadena de suministro global</w:t>
      </w:r>
      <w:r w:rsidRPr="00374FD9">
        <w:rPr>
          <w:rFonts w:ascii="Times New Roman" w:eastAsia="Times New Roman" w:hAnsi="Times New Roman" w:cs="Times New Roman"/>
          <w:sz w:val="24"/>
          <w:szCs w:val="24"/>
          <w:lang w:eastAsia="es-MX"/>
        </w:rPr>
        <w:t>, ya que el activo fue diseñado en torno a estándares industriales existentes:</w:t>
      </w:r>
    </w:p>
    <w:p w14:paraId="7090FEF3" w14:textId="77777777" w:rsidR="00374FD9" w:rsidRPr="00374FD9" w:rsidRDefault="00374FD9" w:rsidP="00374F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Fundición y Empaquetado:</w:t>
      </w:r>
      <w:r w:rsidRPr="00374FD9">
        <w:rPr>
          <w:rFonts w:ascii="Times New Roman" w:eastAsia="Times New Roman" w:hAnsi="Times New Roman" w:cs="Times New Roman"/>
          <w:sz w:val="24"/>
          <w:szCs w:val="24"/>
          <w:lang w:eastAsia="es-MX"/>
        </w:rPr>
        <w:t xml:space="preserve"> la topología 3D está estrictamente diseñada para ser implementada en procesos de integración heterogénea estándar de la industria (ej. </w:t>
      </w:r>
      <w:r w:rsidRPr="00374FD9">
        <w:rPr>
          <w:rFonts w:ascii="Times New Roman" w:eastAsia="Times New Roman" w:hAnsi="Times New Roman" w:cs="Times New Roman"/>
          <w:b/>
          <w:bCs/>
          <w:sz w:val="24"/>
          <w:szCs w:val="24"/>
          <w:lang w:eastAsia="es-MX"/>
        </w:rPr>
        <w:t>TSMC SoIC</w:t>
      </w:r>
      <w:r w:rsidRPr="00374FD9">
        <w:rPr>
          <w:rFonts w:ascii="Times New Roman" w:eastAsia="Times New Roman" w:hAnsi="Times New Roman" w:cs="Times New Roman"/>
          <w:sz w:val="24"/>
          <w:szCs w:val="24"/>
          <w:lang w:eastAsia="es-MX"/>
        </w:rPr>
        <w:t xml:space="preserve">, </w:t>
      </w:r>
      <w:r w:rsidRPr="00374FD9">
        <w:rPr>
          <w:rFonts w:ascii="Times New Roman" w:eastAsia="Times New Roman" w:hAnsi="Times New Roman" w:cs="Times New Roman"/>
          <w:b/>
          <w:bCs/>
          <w:sz w:val="24"/>
          <w:szCs w:val="24"/>
          <w:lang w:eastAsia="es-MX"/>
        </w:rPr>
        <w:t>Intel Foveros</w:t>
      </w:r>
      <w:r w:rsidRPr="00374FD9">
        <w:rPr>
          <w:rFonts w:ascii="Times New Roman" w:eastAsia="Times New Roman" w:hAnsi="Times New Roman" w:cs="Times New Roman"/>
          <w:sz w:val="24"/>
          <w:szCs w:val="24"/>
          <w:lang w:eastAsia="es-MX"/>
        </w:rPr>
        <w:t xml:space="preserve">, </w:t>
      </w:r>
      <w:r w:rsidRPr="00374FD9">
        <w:rPr>
          <w:rFonts w:ascii="Times New Roman" w:eastAsia="Times New Roman" w:hAnsi="Times New Roman" w:cs="Times New Roman"/>
          <w:b/>
          <w:bCs/>
          <w:sz w:val="24"/>
          <w:szCs w:val="24"/>
          <w:lang w:eastAsia="es-MX"/>
        </w:rPr>
        <w:t>Samsung X-Cube</w:t>
      </w:r>
      <w:r w:rsidRPr="00374FD9">
        <w:rPr>
          <w:rFonts w:ascii="Times New Roman" w:eastAsia="Times New Roman" w:hAnsi="Times New Roman" w:cs="Times New Roman"/>
          <w:sz w:val="24"/>
          <w:szCs w:val="24"/>
          <w:lang w:eastAsia="es-MX"/>
        </w:rPr>
        <w:t>), utilizando Vías a Través del Silicio (TSV) y Microbumps de cobre.</w:t>
      </w:r>
    </w:p>
    <w:p w14:paraId="05919CB4" w14:textId="77777777" w:rsidR="00374FD9" w:rsidRPr="00374FD9" w:rsidRDefault="00374FD9" w:rsidP="00374F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Materiales y Deposición:</w:t>
      </w:r>
      <w:r w:rsidRPr="00374FD9">
        <w:rPr>
          <w:rFonts w:ascii="Times New Roman" w:eastAsia="Times New Roman" w:hAnsi="Times New Roman" w:cs="Times New Roman"/>
          <w:sz w:val="24"/>
          <w:szCs w:val="24"/>
          <w:lang w:eastAsia="es-MX"/>
        </w:rPr>
        <w:t xml:space="preserve"> la celda de almacenamiento se basa en Óxido de Hafnio (HfO₂) procesable mediante equipos ALD estándar disponibles en cualquier fundición tier-1.</w:t>
      </w:r>
    </w:p>
    <w:p w14:paraId="3E355293" w14:textId="77777777" w:rsidR="00374FD9" w:rsidRPr="00374FD9" w:rsidRDefault="00374FD9" w:rsidP="00374F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Integración de Sistema:</w:t>
      </w:r>
      <w:r w:rsidRPr="00374FD9">
        <w:rPr>
          <w:rFonts w:ascii="Times New Roman" w:eastAsia="Times New Roman" w:hAnsi="Times New Roman" w:cs="Times New Roman"/>
          <w:sz w:val="24"/>
          <w:szCs w:val="24"/>
          <w:lang w:eastAsia="es-MX"/>
        </w:rPr>
        <w:t xml:space="preserve"> el IP Core incluye la arquitectura para operar como coprocesador esclavo estándar vía </w:t>
      </w:r>
      <w:r w:rsidRPr="00374FD9">
        <w:rPr>
          <w:rFonts w:ascii="Times New Roman" w:eastAsia="Times New Roman" w:hAnsi="Times New Roman" w:cs="Times New Roman"/>
          <w:b/>
          <w:bCs/>
          <w:sz w:val="24"/>
          <w:szCs w:val="24"/>
          <w:lang w:eastAsia="es-MX"/>
        </w:rPr>
        <w:t>PCIe Gen 5 / Gen 6</w:t>
      </w:r>
      <w:r w:rsidRPr="00374FD9">
        <w:rPr>
          <w:rFonts w:ascii="Times New Roman" w:eastAsia="Times New Roman" w:hAnsi="Times New Roman" w:cs="Times New Roman"/>
          <w:sz w:val="24"/>
          <w:szCs w:val="24"/>
          <w:lang w:eastAsia="es-MX"/>
        </w:rPr>
        <w:t xml:space="preserve"> o </w:t>
      </w:r>
      <w:r w:rsidRPr="00374FD9">
        <w:rPr>
          <w:rFonts w:ascii="Times New Roman" w:eastAsia="Times New Roman" w:hAnsi="Times New Roman" w:cs="Times New Roman"/>
          <w:b/>
          <w:bCs/>
          <w:sz w:val="24"/>
          <w:szCs w:val="24"/>
          <w:lang w:eastAsia="es-MX"/>
        </w:rPr>
        <w:t>CXL (Compute Express Link)</w:t>
      </w:r>
      <w:r w:rsidRPr="00374FD9">
        <w:rPr>
          <w:rFonts w:ascii="Times New Roman" w:eastAsia="Times New Roman" w:hAnsi="Times New Roman" w:cs="Times New Roman"/>
          <w:sz w:val="24"/>
          <w:szCs w:val="24"/>
          <w:lang w:eastAsia="es-MX"/>
        </w:rPr>
        <w:t>, garantizando compatibilidad inmediata con arquitecturas de servidor x86/ARM existentes.</w:t>
      </w:r>
    </w:p>
    <w:p w14:paraId="1EAD9930" w14:textId="77777777" w:rsidR="00374FD9" w:rsidRPr="00374FD9" w:rsidRDefault="00374FD9" w:rsidP="00374F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Software de Host:</w:t>
      </w:r>
      <w:r w:rsidRPr="00374FD9">
        <w:rPr>
          <w:rFonts w:ascii="Times New Roman" w:eastAsia="Times New Roman" w:hAnsi="Times New Roman" w:cs="Times New Roman"/>
          <w:sz w:val="24"/>
          <w:szCs w:val="24"/>
          <w:lang w:eastAsia="es-MX"/>
        </w:rPr>
        <w:t xml:space="preserve"> el protocolo de comunicación se ajusta a buses industriales estándar (PCIe, UART) con validación CRC-32, formato aritmético de punto fijo y empaquetado atómico determinista, eliminando dependencias propietarias de stack de drivers.</w:t>
      </w:r>
    </w:p>
    <w:p w14:paraId="04DA7A5E"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9.2 Paquete de Entrega de Propiedad Intelectual</w:t>
      </w:r>
    </w:p>
    <w:p w14:paraId="4C9516E7"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La adquisición o licenciamiento de la tecnología incluye el traspaso integral del siguiente acervo científico y de ingeniería:</w:t>
      </w:r>
    </w:p>
    <w:p w14:paraId="0E9C82F3" w14:textId="77777777" w:rsidR="00374FD9" w:rsidRPr="00374FD9" w:rsidRDefault="00374FD9" w:rsidP="00374F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Código Lógico:</w:t>
      </w:r>
      <w:r w:rsidRPr="00374FD9">
        <w:rPr>
          <w:rFonts w:ascii="Times New Roman" w:eastAsia="Times New Roman" w:hAnsi="Times New Roman" w:cs="Times New Roman"/>
          <w:sz w:val="24"/>
          <w:szCs w:val="24"/>
          <w:lang w:eastAsia="es-MX"/>
        </w:rPr>
        <w:t xml:space="preserve"> Módulos RTL (Verilog) del Vóxel Topológico, validados empíricamente en silicio reconfigurable (FPGA), incluyendo banco de pruebas y archivos de constraints.</w:t>
      </w:r>
    </w:p>
    <w:p w14:paraId="25584E64" w14:textId="77777777" w:rsidR="00374FD9" w:rsidRPr="00374FD9" w:rsidRDefault="00374FD9" w:rsidP="00374F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Especificación de Materiales:</w:t>
      </w:r>
      <w:r w:rsidRPr="00374FD9">
        <w:rPr>
          <w:rFonts w:ascii="Times New Roman" w:eastAsia="Times New Roman" w:hAnsi="Times New Roman" w:cs="Times New Roman"/>
          <w:sz w:val="24"/>
          <w:szCs w:val="24"/>
          <w:lang w:eastAsia="es-MX"/>
        </w:rPr>
        <w:t xml:space="preserve"> La receta analítica completa para la deposición atómica (ALD) de la celda de Óxido de Hafnio (HfO₂) con las proporciones geométricas que fuerzan el comportamiento determinista del Candado de Fase físico.</w:t>
      </w:r>
    </w:p>
    <w:p w14:paraId="47C408F3" w14:textId="77777777" w:rsidR="00374FD9" w:rsidRPr="00374FD9" w:rsidRDefault="00374FD9" w:rsidP="00374F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Constantes Termodinámicas:</w:t>
      </w:r>
      <w:r w:rsidRPr="00374FD9">
        <w:rPr>
          <w:rFonts w:ascii="Times New Roman" w:eastAsia="Times New Roman" w:hAnsi="Times New Roman" w:cs="Times New Roman"/>
          <w:sz w:val="24"/>
          <w:szCs w:val="24"/>
          <w:lang w:eastAsia="es-MX"/>
        </w:rPr>
        <w:t xml:space="preserve"> Los valores propietarios de inyección entrópica, saturación crítica y umbral de simetría vectorial.</w:t>
      </w:r>
    </w:p>
    <w:p w14:paraId="46983C13" w14:textId="77777777" w:rsidR="00374FD9" w:rsidRPr="00374FD9" w:rsidRDefault="00374FD9" w:rsidP="00374F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Protocolos de Red:</w:t>
      </w:r>
      <w:r w:rsidRPr="00374FD9">
        <w:rPr>
          <w:rFonts w:ascii="Times New Roman" w:eastAsia="Times New Roman" w:hAnsi="Times New Roman" w:cs="Times New Roman"/>
          <w:sz w:val="24"/>
          <w:szCs w:val="24"/>
          <w:lang w:eastAsia="es-MX"/>
        </w:rPr>
        <w:t xml:space="preserve"> Interfaz de host Boundary Scan DEE, formato de paquete atómico de punto fijo y compresión de telemetría Sparse Matrix.</w:t>
      </w:r>
    </w:p>
    <w:p w14:paraId="59459106" w14:textId="77777777" w:rsidR="00374FD9" w:rsidRPr="00374FD9" w:rsidRDefault="00374FD9" w:rsidP="00374F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Documentación Maestra:</w:t>
      </w:r>
      <w:r w:rsidRPr="00374FD9">
        <w:rPr>
          <w:rFonts w:ascii="Times New Roman" w:eastAsia="Times New Roman" w:hAnsi="Times New Roman" w:cs="Times New Roman"/>
          <w:sz w:val="24"/>
          <w:szCs w:val="24"/>
          <w:lang w:eastAsia="es-MX"/>
        </w:rPr>
        <w:t xml:space="preserve"> Especificación técnica completa, modos de fallo, redundancia activa, métricas PPA y flujo de síntesis industrial.</w:t>
      </w:r>
    </w:p>
    <w:p w14:paraId="5CD97123" w14:textId="77777777" w:rsidR="00374FD9" w:rsidRPr="00374FD9" w:rsidRDefault="00374FD9" w:rsidP="00374F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Soporte Transitorio:</w:t>
      </w:r>
      <w:r w:rsidRPr="00374FD9">
        <w:rPr>
          <w:rFonts w:ascii="Times New Roman" w:eastAsia="Times New Roman" w:hAnsi="Times New Roman" w:cs="Times New Roman"/>
          <w:sz w:val="24"/>
          <w:szCs w:val="24"/>
          <w:lang w:eastAsia="es-MX"/>
        </w:rPr>
        <w:t xml:space="preserve"> Acompañamiento técnico del equipo inventor durante el periodo acordado, asegurando transferencia efectiva del know-how no codificado.</w:t>
      </w:r>
    </w:p>
    <w:p w14:paraId="1CD64361"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9.3 Límite de Responsabilidad Tecnológica</w:t>
      </w:r>
    </w:p>
    <w:p w14:paraId="62E396C9"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bookmarkStart w:id="2" w:name="OLE_LINK3"/>
      <w:r w:rsidRPr="00374FD9">
        <w:rPr>
          <w:rFonts w:ascii="Times New Roman" w:eastAsia="Times New Roman" w:hAnsi="Times New Roman" w:cs="Times New Roman"/>
          <w:sz w:val="24"/>
          <w:szCs w:val="24"/>
          <w:lang w:eastAsia="es-MX"/>
        </w:rPr>
        <w:lastRenderedPageBreak/>
        <w:t xml:space="preserve">El presente activo se transfiere como una </w:t>
      </w:r>
      <w:r w:rsidRPr="00374FD9">
        <w:rPr>
          <w:rFonts w:ascii="Times New Roman" w:eastAsia="Times New Roman" w:hAnsi="Times New Roman" w:cs="Times New Roman"/>
          <w:b/>
          <w:bCs/>
          <w:sz w:val="24"/>
          <w:szCs w:val="24"/>
          <w:lang w:eastAsia="es-MX"/>
        </w:rPr>
        <w:t>arquitectura lógica y un modelo de materiales</w:t>
      </w:r>
      <w:r w:rsidRPr="00374FD9">
        <w:rPr>
          <w:rFonts w:ascii="Times New Roman" w:eastAsia="Times New Roman" w:hAnsi="Times New Roman" w:cs="Times New Roman"/>
          <w:sz w:val="24"/>
          <w:szCs w:val="24"/>
          <w:lang w:eastAsia="es-MX"/>
        </w:rPr>
        <w:t xml:space="preserve"> fundamentado en leyes termodinámicas y topológicas estrictas, validado funcionalmente a nivel FPGA. El adquirente reconoce expresamente que:</w:t>
      </w:r>
    </w:p>
    <w:p w14:paraId="501C7FD9" w14:textId="77777777" w:rsidR="00374FD9" w:rsidRPr="00374FD9" w:rsidRDefault="00374FD9" w:rsidP="00374F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La </w:t>
      </w:r>
      <w:r w:rsidRPr="00374FD9">
        <w:rPr>
          <w:rFonts w:ascii="Times New Roman" w:eastAsia="Times New Roman" w:hAnsi="Times New Roman" w:cs="Times New Roman"/>
          <w:b/>
          <w:bCs/>
          <w:sz w:val="24"/>
          <w:szCs w:val="24"/>
          <w:lang w:eastAsia="es-MX"/>
        </w:rPr>
        <w:t>manufactura de tape-out</w:t>
      </w:r>
      <w:r w:rsidRPr="00374FD9">
        <w:rPr>
          <w:rFonts w:ascii="Times New Roman" w:eastAsia="Times New Roman" w:hAnsi="Times New Roman" w:cs="Times New Roman"/>
          <w:sz w:val="24"/>
          <w:szCs w:val="24"/>
          <w:lang w:eastAsia="es-MX"/>
        </w:rPr>
        <w:t>, el escalado litográfico y la implementación física final en silicio (ASIC) dependen exclusivamente de su propia capacidad de fabricación y acuerdos de fundición.</w:t>
      </w:r>
    </w:p>
    <w:p w14:paraId="70619812" w14:textId="77777777" w:rsidR="00374FD9" w:rsidRPr="00374FD9" w:rsidRDefault="00374FD9" w:rsidP="00374F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La </w:t>
      </w:r>
      <w:r w:rsidRPr="00374FD9">
        <w:rPr>
          <w:rFonts w:ascii="Times New Roman" w:eastAsia="Times New Roman" w:hAnsi="Times New Roman" w:cs="Times New Roman"/>
          <w:b/>
          <w:bCs/>
          <w:sz w:val="24"/>
          <w:szCs w:val="24"/>
          <w:lang w:eastAsia="es-MX"/>
        </w:rPr>
        <w:t>caracterización empírica</w:t>
      </w:r>
      <w:r w:rsidRPr="00374FD9">
        <w:rPr>
          <w:rFonts w:ascii="Times New Roman" w:eastAsia="Times New Roman" w:hAnsi="Times New Roman" w:cs="Times New Roman"/>
          <w:sz w:val="24"/>
          <w:szCs w:val="24"/>
          <w:lang w:eastAsia="es-MX"/>
        </w:rPr>
        <w:t xml:space="preserve"> de las celdas de memoria resistiva en su línea de manufactura específica es responsabilidad operativa del adquirente, en línea con la práctica industrial estándar al transferir IP de circuitos integrados.</w:t>
      </w:r>
    </w:p>
    <w:p w14:paraId="6B13EE7C" w14:textId="77777777" w:rsidR="00374FD9" w:rsidRPr="00374FD9" w:rsidRDefault="00374FD9" w:rsidP="00374F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El equipo originador </w:t>
      </w:r>
      <w:r w:rsidRPr="00374FD9">
        <w:rPr>
          <w:rFonts w:ascii="Times New Roman" w:eastAsia="Times New Roman" w:hAnsi="Times New Roman" w:cs="Times New Roman"/>
          <w:b/>
          <w:bCs/>
          <w:sz w:val="24"/>
          <w:szCs w:val="24"/>
          <w:lang w:eastAsia="es-MX"/>
        </w:rPr>
        <w:t>garantiza la coherencia del modelo lógico-matemático y la operatividad del RTL en silicio reconfigurable</w:t>
      </w:r>
      <w:r w:rsidRPr="00374FD9">
        <w:rPr>
          <w:rFonts w:ascii="Times New Roman" w:eastAsia="Times New Roman" w:hAnsi="Times New Roman" w:cs="Times New Roman"/>
          <w:sz w:val="24"/>
          <w:szCs w:val="24"/>
          <w:lang w:eastAsia="es-MX"/>
        </w:rPr>
        <w:t>, sin asumir responsabilidades sobre desviaciones de proceso del adquirente.</w:t>
      </w:r>
    </w:p>
    <w:p w14:paraId="76B1064D"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Este marco de responsabilidad replica el modelo estándar utilizado por proveedores de IP soft (ARM, Imagination, Ceva), reconocido por la industria del semiconductor como vehículo legítimo de transferencia tecnológica.</w:t>
      </w:r>
    </w:p>
    <w:bookmarkEnd w:id="2"/>
    <w:p w14:paraId="004BB089"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35FBCD09">
          <v:rect id="_x0000_i1027" alt="" style="width:441.8pt;height:.05pt;mso-width-percent:0;mso-height-percent:0;mso-width-percent:0;mso-height-percent:0" o:hrpct="944" o:hralign="center" o:hrstd="t" o:hr="t" fillcolor="#a0a0a0" stroked="f"/>
        </w:pict>
      </w:r>
    </w:p>
    <w:p w14:paraId="72C03548"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10. MERCADOS ACCESIBLES PARA EL ADQUIRENTE</w:t>
      </w:r>
    </w:p>
    <w:p w14:paraId="52C9103B"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El IP OKOZAM habilita líneas de productos derivadas en al menos diez verticales industriales con valor de mercado agregado superior al billón de dólares: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747"/>
        <w:gridCol w:w="5614"/>
      </w:tblGrid>
      <w:tr w:rsidR="00374FD9" w:rsidRPr="00374FD9" w14:paraId="7B9B6EB8" w14:textId="77777777" w:rsidTr="00374FD9">
        <w:trPr>
          <w:tblHeader/>
          <w:tblCellSpacing w:w="15" w:type="dxa"/>
        </w:trPr>
        <w:tc>
          <w:tcPr>
            <w:tcW w:w="0" w:type="auto"/>
            <w:vAlign w:val="center"/>
            <w:hideMark/>
          </w:tcPr>
          <w:p w14:paraId="06808014"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w:t>
            </w:r>
          </w:p>
        </w:tc>
        <w:tc>
          <w:tcPr>
            <w:tcW w:w="0" w:type="auto"/>
            <w:vAlign w:val="center"/>
            <w:hideMark/>
          </w:tcPr>
          <w:p w14:paraId="0ABE2E2D"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Mercado Vertical</w:t>
            </w:r>
          </w:p>
        </w:tc>
        <w:tc>
          <w:tcPr>
            <w:tcW w:w="0" w:type="auto"/>
            <w:vAlign w:val="center"/>
            <w:hideMark/>
          </w:tcPr>
          <w:p w14:paraId="3CFE1C96" w14:textId="77777777" w:rsidR="00374FD9" w:rsidRPr="00374FD9" w:rsidRDefault="00374FD9" w:rsidP="00374FD9">
            <w:pPr>
              <w:spacing w:after="0" w:line="240" w:lineRule="auto"/>
              <w:jc w:val="center"/>
              <w:rPr>
                <w:rFonts w:ascii="Times New Roman" w:eastAsia="Times New Roman" w:hAnsi="Times New Roman" w:cs="Times New Roman"/>
                <w:b/>
                <w:bCs/>
                <w:sz w:val="24"/>
                <w:szCs w:val="24"/>
                <w:lang w:eastAsia="es-MX"/>
              </w:rPr>
            </w:pPr>
            <w:r w:rsidRPr="00374FD9">
              <w:rPr>
                <w:rFonts w:ascii="Times New Roman" w:eastAsia="Times New Roman" w:hAnsi="Times New Roman" w:cs="Times New Roman"/>
                <w:b/>
                <w:bCs/>
                <w:sz w:val="24"/>
                <w:szCs w:val="24"/>
                <w:lang w:eastAsia="es-MX"/>
              </w:rPr>
              <w:t>Caso de Uso Determinante</w:t>
            </w:r>
          </w:p>
        </w:tc>
      </w:tr>
      <w:tr w:rsidR="00374FD9" w:rsidRPr="00374FD9" w14:paraId="20AAFD45" w14:textId="77777777" w:rsidTr="00374FD9">
        <w:trPr>
          <w:tblCellSpacing w:w="15" w:type="dxa"/>
        </w:trPr>
        <w:tc>
          <w:tcPr>
            <w:tcW w:w="0" w:type="auto"/>
            <w:vAlign w:val="center"/>
            <w:hideMark/>
          </w:tcPr>
          <w:p w14:paraId="14F38CF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1</w:t>
            </w:r>
          </w:p>
        </w:tc>
        <w:tc>
          <w:tcPr>
            <w:tcW w:w="0" w:type="auto"/>
            <w:vAlign w:val="center"/>
            <w:hideMark/>
          </w:tcPr>
          <w:p w14:paraId="5E72DC61"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Industria Farmacéutica</w:t>
            </w:r>
          </w:p>
        </w:tc>
        <w:tc>
          <w:tcPr>
            <w:tcW w:w="0" w:type="auto"/>
            <w:vAlign w:val="center"/>
            <w:hideMark/>
          </w:tcPr>
          <w:p w14:paraId="777D657A"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Ensayos in-silico, plegamiento proteico, sitios alostéricos</w:t>
            </w:r>
          </w:p>
        </w:tc>
      </w:tr>
      <w:tr w:rsidR="00374FD9" w:rsidRPr="00374FD9" w14:paraId="68C54FBF" w14:textId="77777777" w:rsidTr="00374FD9">
        <w:trPr>
          <w:tblCellSpacing w:w="15" w:type="dxa"/>
        </w:trPr>
        <w:tc>
          <w:tcPr>
            <w:tcW w:w="0" w:type="auto"/>
            <w:vAlign w:val="center"/>
            <w:hideMark/>
          </w:tcPr>
          <w:p w14:paraId="5AC314F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2</w:t>
            </w:r>
          </w:p>
        </w:tc>
        <w:tc>
          <w:tcPr>
            <w:tcW w:w="0" w:type="auto"/>
            <w:vAlign w:val="center"/>
            <w:hideMark/>
          </w:tcPr>
          <w:p w14:paraId="0907F37E"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Ciencia de Materiales</w:t>
            </w:r>
          </w:p>
        </w:tc>
        <w:tc>
          <w:tcPr>
            <w:tcW w:w="0" w:type="auto"/>
            <w:vAlign w:val="center"/>
            <w:hideMark/>
          </w:tcPr>
          <w:p w14:paraId="1114DF40"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Superconductores, metamateriales, polímeros funcionales</w:t>
            </w:r>
          </w:p>
        </w:tc>
      </w:tr>
      <w:tr w:rsidR="00374FD9" w:rsidRPr="00374FD9" w14:paraId="42E55083" w14:textId="77777777" w:rsidTr="00374FD9">
        <w:trPr>
          <w:tblCellSpacing w:w="15" w:type="dxa"/>
        </w:trPr>
        <w:tc>
          <w:tcPr>
            <w:tcW w:w="0" w:type="auto"/>
            <w:vAlign w:val="center"/>
            <w:hideMark/>
          </w:tcPr>
          <w:p w14:paraId="749146BF"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3</w:t>
            </w:r>
          </w:p>
        </w:tc>
        <w:tc>
          <w:tcPr>
            <w:tcW w:w="0" w:type="auto"/>
            <w:vAlign w:val="center"/>
            <w:hideMark/>
          </w:tcPr>
          <w:p w14:paraId="045410F7"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Edge AI / IoT Industrial</w:t>
            </w:r>
          </w:p>
        </w:tc>
        <w:tc>
          <w:tcPr>
            <w:tcW w:w="0" w:type="auto"/>
            <w:vAlign w:val="center"/>
            <w:hideMark/>
          </w:tcPr>
          <w:p w14:paraId="281B85B6"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Inferencia ultra-bajo consumo en dispositivos autónomos</w:t>
            </w:r>
          </w:p>
        </w:tc>
      </w:tr>
      <w:tr w:rsidR="00374FD9" w:rsidRPr="00374FD9" w14:paraId="692BD2F1" w14:textId="77777777" w:rsidTr="00374FD9">
        <w:trPr>
          <w:tblCellSpacing w:w="15" w:type="dxa"/>
        </w:trPr>
        <w:tc>
          <w:tcPr>
            <w:tcW w:w="0" w:type="auto"/>
            <w:vAlign w:val="center"/>
            <w:hideMark/>
          </w:tcPr>
          <w:p w14:paraId="724E90AC"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4</w:t>
            </w:r>
          </w:p>
        </w:tc>
        <w:tc>
          <w:tcPr>
            <w:tcW w:w="0" w:type="auto"/>
            <w:vAlign w:val="center"/>
            <w:hideMark/>
          </w:tcPr>
          <w:p w14:paraId="4B110394"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Logística Global</w:t>
            </w:r>
          </w:p>
        </w:tc>
        <w:tc>
          <w:tcPr>
            <w:tcW w:w="0" w:type="auto"/>
            <w:vAlign w:val="center"/>
            <w:hideMark/>
          </w:tcPr>
          <w:p w14:paraId="66C33096"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Optimización combinatoria masiva en tiempo real</w:t>
            </w:r>
          </w:p>
        </w:tc>
      </w:tr>
      <w:tr w:rsidR="00374FD9" w:rsidRPr="00374FD9" w14:paraId="52B1D80C" w14:textId="77777777" w:rsidTr="00374FD9">
        <w:trPr>
          <w:tblCellSpacing w:w="15" w:type="dxa"/>
        </w:trPr>
        <w:tc>
          <w:tcPr>
            <w:tcW w:w="0" w:type="auto"/>
            <w:vAlign w:val="center"/>
            <w:hideMark/>
          </w:tcPr>
          <w:p w14:paraId="5148495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5</w:t>
            </w:r>
          </w:p>
        </w:tc>
        <w:tc>
          <w:tcPr>
            <w:tcW w:w="0" w:type="auto"/>
            <w:vAlign w:val="center"/>
            <w:hideMark/>
          </w:tcPr>
          <w:p w14:paraId="5D321D4A"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Ciberseguridad</w:t>
            </w:r>
          </w:p>
        </w:tc>
        <w:tc>
          <w:tcPr>
            <w:tcW w:w="0" w:type="auto"/>
            <w:vAlign w:val="center"/>
            <w:hideMark/>
          </w:tcPr>
          <w:p w14:paraId="669A90CC"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Criptografía topológica resistente al cómputo cuántico</w:t>
            </w:r>
          </w:p>
        </w:tc>
      </w:tr>
      <w:tr w:rsidR="00374FD9" w:rsidRPr="00374FD9" w14:paraId="1B890089" w14:textId="77777777" w:rsidTr="00374FD9">
        <w:trPr>
          <w:tblCellSpacing w:w="15" w:type="dxa"/>
        </w:trPr>
        <w:tc>
          <w:tcPr>
            <w:tcW w:w="0" w:type="auto"/>
            <w:vAlign w:val="center"/>
            <w:hideMark/>
          </w:tcPr>
          <w:p w14:paraId="0BBA1A75"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6</w:t>
            </w:r>
          </w:p>
        </w:tc>
        <w:tc>
          <w:tcPr>
            <w:tcW w:w="0" w:type="auto"/>
            <w:vAlign w:val="center"/>
            <w:hideMark/>
          </w:tcPr>
          <w:p w14:paraId="7D95A2A9"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Modelado Climático y CFD</w:t>
            </w:r>
          </w:p>
        </w:tc>
        <w:tc>
          <w:tcPr>
            <w:tcW w:w="0" w:type="auto"/>
            <w:vAlign w:val="center"/>
            <w:hideMark/>
          </w:tcPr>
          <w:p w14:paraId="708E3B62"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Predicción meteorológica, aerodinámica de alta precisión</w:t>
            </w:r>
          </w:p>
        </w:tc>
      </w:tr>
      <w:tr w:rsidR="00374FD9" w:rsidRPr="00374FD9" w14:paraId="64E985BF" w14:textId="77777777" w:rsidTr="00374FD9">
        <w:trPr>
          <w:tblCellSpacing w:w="15" w:type="dxa"/>
        </w:trPr>
        <w:tc>
          <w:tcPr>
            <w:tcW w:w="0" w:type="auto"/>
            <w:vAlign w:val="center"/>
            <w:hideMark/>
          </w:tcPr>
          <w:p w14:paraId="71E64AD4"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7</w:t>
            </w:r>
          </w:p>
        </w:tc>
        <w:tc>
          <w:tcPr>
            <w:tcW w:w="0" w:type="auto"/>
            <w:vAlign w:val="center"/>
            <w:hideMark/>
          </w:tcPr>
          <w:p w14:paraId="2AD196A9"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Telecomunicaciones 5G/6G</w:t>
            </w:r>
          </w:p>
        </w:tc>
        <w:tc>
          <w:tcPr>
            <w:tcW w:w="0" w:type="auto"/>
            <w:vAlign w:val="center"/>
            <w:hideMark/>
          </w:tcPr>
          <w:p w14:paraId="458D9DBF"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Gestión dinámica de tráfico de red</w:t>
            </w:r>
          </w:p>
        </w:tc>
      </w:tr>
      <w:tr w:rsidR="00374FD9" w:rsidRPr="00374FD9" w14:paraId="02248066" w14:textId="77777777" w:rsidTr="00374FD9">
        <w:trPr>
          <w:tblCellSpacing w:w="15" w:type="dxa"/>
        </w:trPr>
        <w:tc>
          <w:tcPr>
            <w:tcW w:w="0" w:type="auto"/>
            <w:vAlign w:val="center"/>
            <w:hideMark/>
          </w:tcPr>
          <w:p w14:paraId="6DBCD6A9"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8</w:t>
            </w:r>
          </w:p>
        </w:tc>
        <w:tc>
          <w:tcPr>
            <w:tcW w:w="0" w:type="auto"/>
            <w:vAlign w:val="center"/>
            <w:hideMark/>
          </w:tcPr>
          <w:p w14:paraId="00840F47"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Servicios Financieros</w:t>
            </w:r>
          </w:p>
        </w:tc>
        <w:tc>
          <w:tcPr>
            <w:tcW w:w="0" w:type="auto"/>
            <w:vAlign w:val="center"/>
            <w:hideMark/>
          </w:tcPr>
          <w:p w14:paraId="654AD043"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Modelado de riesgo sistémico, HFT determinista</w:t>
            </w:r>
          </w:p>
        </w:tc>
      </w:tr>
      <w:tr w:rsidR="00374FD9" w:rsidRPr="00374FD9" w14:paraId="2C0D32B8" w14:textId="77777777" w:rsidTr="00374FD9">
        <w:trPr>
          <w:tblCellSpacing w:w="15" w:type="dxa"/>
        </w:trPr>
        <w:tc>
          <w:tcPr>
            <w:tcW w:w="0" w:type="auto"/>
            <w:vAlign w:val="center"/>
            <w:hideMark/>
          </w:tcPr>
          <w:p w14:paraId="4D5E70C4"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9</w:t>
            </w:r>
          </w:p>
        </w:tc>
        <w:tc>
          <w:tcPr>
            <w:tcW w:w="0" w:type="auto"/>
            <w:vAlign w:val="center"/>
            <w:hideMark/>
          </w:tcPr>
          <w:p w14:paraId="3B18F363"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Genómica Personalizada</w:t>
            </w:r>
          </w:p>
        </w:tc>
        <w:tc>
          <w:tcPr>
            <w:tcW w:w="0" w:type="auto"/>
            <w:vAlign w:val="center"/>
            <w:hideMark/>
          </w:tcPr>
          <w:p w14:paraId="473DE1D3"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Mapeo de epistasia, terapias dirigidas</w:t>
            </w:r>
          </w:p>
        </w:tc>
      </w:tr>
      <w:tr w:rsidR="00374FD9" w:rsidRPr="00374FD9" w14:paraId="31238BEA" w14:textId="77777777" w:rsidTr="00374FD9">
        <w:trPr>
          <w:tblCellSpacing w:w="15" w:type="dxa"/>
        </w:trPr>
        <w:tc>
          <w:tcPr>
            <w:tcW w:w="0" w:type="auto"/>
            <w:vAlign w:val="center"/>
            <w:hideMark/>
          </w:tcPr>
          <w:p w14:paraId="115F993C"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10</w:t>
            </w:r>
          </w:p>
        </w:tc>
        <w:tc>
          <w:tcPr>
            <w:tcW w:w="0" w:type="auto"/>
            <w:vAlign w:val="center"/>
            <w:hideMark/>
          </w:tcPr>
          <w:p w14:paraId="1B8644DA"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Aeroespacial y Defensa</w:t>
            </w:r>
          </w:p>
        </w:tc>
        <w:tc>
          <w:tcPr>
            <w:tcW w:w="0" w:type="auto"/>
            <w:vAlign w:val="center"/>
            <w:hideMark/>
          </w:tcPr>
          <w:p w14:paraId="090C1F90" w14:textId="77777777" w:rsidR="00374FD9" w:rsidRPr="00374FD9" w:rsidRDefault="00374FD9" w:rsidP="00374FD9">
            <w:pPr>
              <w:spacing w:after="0"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Simulación balística, radares phased-array, C5ISR</w:t>
            </w:r>
          </w:p>
        </w:tc>
      </w:tr>
    </w:tbl>
    <w:p w14:paraId="3BBB571E"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Cada vertical es un eje de monetización independiente. Un adquirente con un solo segmento dominante recupera la inversión; con múltiples segmentos accede a un retorno geométrico.</w:t>
      </w:r>
    </w:p>
    <w:p w14:paraId="1D09DBD6"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0D75C056">
          <v:rect id="_x0000_i1026" alt="" style="width:441.8pt;height:.05pt;mso-width-percent:0;mso-height-percent:0;mso-width-percent:0;mso-height-percent:0" o:hrpct="944" o:hralign="center" o:hrstd="t" o:hr="t" fillcolor="#a0a0a0" stroked="f"/>
        </w:pict>
      </w:r>
    </w:p>
    <w:p w14:paraId="1E437497"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lastRenderedPageBreak/>
        <w:t>11. MARCO DE LICENCIAMIENTO O ADQUISICIÓN</w:t>
      </w:r>
    </w:p>
    <w:p w14:paraId="1CDC8226"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El equipo originador contempla cuatro estructuras posibles para la operación de transferencia, sujetas a término final:</w:t>
      </w:r>
    </w:p>
    <w:p w14:paraId="5279B59C"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11.1 Adquisición Total del Activo</w:t>
      </w:r>
    </w:p>
    <w:p w14:paraId="2238F84B"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Cesión irrevocable y exclusiva de todos los derechos de propiedad intelectual a una contraparte única. Recomendado para adquirentes que busquen exclusividad estratégica frente a competidores.</w:t>
      </w:r>
    </w:p>
    <w:p w14:paraId="7E9A07D2"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11.2 Licenciamiento Exclusivo por Vertical o Geografía</w:t>
      </w:r>
    </w:p>
    <w:p w14:paraId="762AF46E"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Concesión exclusiva limitada a campos de uso definidos (ej. farmacéutico, defensa, hyperscaler) o a regiones geográficas específicas. Permite múltiples contrapartes no competidoras.</w:t>
      </w:r>
    </w:p>
    <w:p w14:paraId="68F00496"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11.3 Licenciamiento No Exclusivo con Royalty</w:t>
      </w:r>
    </w:p>
    <w:p w14:paraId="5AECEC98"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Modelo de licenciamiento abierto análogo al de arquitecturas ISA, con regalía por unidad fabricada o por capacidad de cómputo desplegada.</w:t>
      </w:r>
    </w:p>
    <w:p w14:paraId="4E3D77F5" w14:textId="77777777" w:rsidR="00374FD9" w:rsidRPr="00374FD9" w:rsidRDefault="00374FD9" w:rsidP="00374FD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374FD9">
        <w:rPr>
          <w:rFonts w:ascii="Times New Roman" w:eastAsia="Times New Roman" w:hAnsi="Times New Roman" w:cs="Times New Roman"/>
          <w:b/>
          <w:bCs/>
          <w:sz w:val="27"/>
          <w:szCs w:val="27"/>
          <w:lang w:eastAsia="es-MX"/>
        </w:rPr>
        <w:t>11.4 Co-Desarrollo Estratégico</w:t>
      </w:r>
    </w:p>
    <w:p w14:paraId="272FCBB2"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Estructura híbrida que combina cesión limitada de IP con participación del equipo originador en la fase de implementación física, alineando incentivos hacia el éxito comercial.</w:t>
      </w:r>
    </w:p>
    <w:p w14:paraId="6FA62F66" w14:textId="77777777" w:rsidR="00374FD9" w:rsidRPr="00374FD9" w:rsidRDefault="00B13A8A" w:rsidP="00374FD9">
      <w:pPr>
        <w:spacing w:after="0" w:line="240" w:lineRule="auto"/>
        <w:rPr>
          <w:rFonts w:ascii="Times New Roman" w:eastAsia="Times New Roman" w:hAnsi="Times New Roman" w:cs="Times New Roman"/>
          <w:sz w:val="24"/>
          <w:szCs w:val="24"/>
          <w:lang w:eastAsia="es-MX"/>
        </w:rPr>
      </w:pPr>
      <w:r w:rsidRPr="00B13A8A">
        <w:rPr>
          <w:rFonts w:ascii="Times New Roman" w:eastAsia="Times New Roman" w:hAnsi="Times New Roman" w:cs="Times New Roman"/>
          <w:noProof/>
          <w:sz w:val="24"/>
          <w:szCs w:val="24"/>
          <w:lang w:eastAsia="es-MX"/>
        </w:rPr>
        <w:pict w14:anchorId="0965D512">
          <v:rect id="_x0000_i1025" alt="" style="width:441.8pt;height:.05pt;mso-width-percent:0;mso-height-percent:0;mso-width-percent:0;mso-height-percent:0" o:hrpct="944" o:hralign="center" o:hrstd="t" o:hr="t" fillcolor="#a0a0a0" stroked="f"/>
        </w:pict>
      </w:r>
    </w:p>
    <w:p w14:paraId="55753DAF" w14:textId="77777777" w:rsidR="00374FD9" w:rsidRPr="00374FD9" w:rsidRDefault="00374FD9" w:rsidP="00374FD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374FD9">
        <w:rPr>
          <w:rFonts w:ascii="Times New Roman" w:eastAsia="Times New Roman" w:hAnsi="Times New Roman" w:cs="Times New Roman"/>
          <w:b/>
          <w:bCs/>
          <w:sz w:val="36"/>
          <w:szCs w:val="36"/>
          <w:lang w:eastAsia="es-MX"/>
        </w:rPr>
        <w:t>12. CONCLUSIÓN</w:t>
      </w:r>
    </w:p>
    <w:p w14:paraId="0DCC567E"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OKOZAM no compite en la guerra de litografías. </w:t>
      </w:r>
      <w:r w:rsidRPr="00374FD9">
        <w:rPr>
          <w:rFonts w:ascii="Times New Roman" w:eastAsia="Times New Roman" w:hAnsi="Times New Roman" w:cs="Times New Roman"/>
          <w:b/>
          <w:bCs/>
          <w:sz w:val="24"/>
          <w:szCs w:val="24"/>
          <w:lang w:eastAsia="es-MX"/>
        </w:rPr>
        <w:t>OKOZAM redefine las reglas del juego al cambiar el sustrato físico sobre el cual se computa.</w:t>
      </w:r>
    </w:p>
    <w:p w14:paraId="731ED32C"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Las firmas dominantes de la industria han alcanzado el techo de la arquitectura Von Neumann. Sus hojas de ruta apuntan a refinamientos incrementales —HBM4, nodos sub-2nm, mayor densidad de empaquetado— pero ninguna de ellas resuelve los cuellos de botella fundamentales: la separación memoria-cómputo, el reloj global y la volatilidad del almacenamiento.</w:t>
      </w:r>
    </w:p>
    <w:p w14:paraId="0098300E"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 xml:space="preserve">OKOZAM aporta el </w:t>
      </w:r>
      <w:r w:rsidRPr="00374FD9">
        <w:rPr>
          <w:rFonts w:ascii="Times New Roman" w:eastAsia="Times New Roman" w:hAnsi="Times New Roman" w:cs="Times New Roman"/>
          <w:b/>
          <w:bCs/>
          <w:sz w:val="24"/>
          <w:szCs w:val="24"/>
          <w:lang w:eastAsia="es-MX"/>
        </w:rPr>
        <w:t>núcleo arquitectónico-matemático</w:t>
      </w:r>
      <w:r w:rsidRPr="00374FD9">
        <w:rPr>
          <w:rFonts w:ascii="Times New Roman" w:eastAsia="Times New Roman" w:hAnsi="Times New Roman" w:cs="Times New Roman"/>
          <w:sz w:val="24"/>
          <w:szCs w:val="24"/>
          <w:lang w:eastAsia="es-MX"/>
        </w:rPr>
        <w:t xml:space="preserve"> que cualquiera de estas firmas necesita para liderar la siguiente generación de cómputo de alto rendimiento. El activo está </w:t>
      </w:r>
      <w:r w:rsidRPr="00374FD9">
        <w:rPr>
          <w:rFonts w:ascii="Times New Roman" w:eastAsia="Times New Roman" w:hAnsi="Times New Roman" w:cs="Times New Roman"/>
          <w:sz w:val="24"/>
          <w:szCs w:val="24"/>
          <w:lang w:eastAsia="es-MX"/>
        </w:rPr>
        <w:lastRenderedPageBreak/>
        <w:t>validado, especificado, defendido por múltiples capas de IP y diseñado para integrarse en los procesos de manufactura existentes de cualquier fundición tier-1.</w:t>
      </w:r>
    </w:p>
    <w:p w14:paraId="6978404E" w14:textId="77777777" w:rsidR="00374FD9" w:rsidRPr="00374FD9" w:rsidRDefault="00374FD9" w:rsidP="00374FD9">
      <w:pPr>
        <w:spacing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b/>
          <w:bCs/>
          <w:sz w:val="24"/>
          <w:szCs w:val="24"/>
          <w:lang w:eastAsia="es-MX"/>
        </w:rPr>
        <w:t>Las firmas dominantes tienen el músculo de fabricación. El equipo OKOZAM aporta el algoritmo que rompe la física térmica.</w:t>
      </w:r>
    </w:p>
    <w:p w14:paraId="4547EB85" w14:textId="77777777" w:rsidR="00374FD9" w:rsidRPr="00374FD9" w:rsidRDefault="00374FD9" w:rsidP="00374FD9">
      <w:pPr>
        <w:spacing w:before="100" w:beforeAutospacing="1" w:after="100" w:afterAutospacing="1" w:line="240" w:lineRule="auto"/>
        <w:rPr>
          <w:rFonts w:ascii="Times New Roman" w:eastAsia="Times New Roman" w:hAnsi="Times New Roman" w:cs="Times New Roman"/>
          <w:sz w:val="24"/>
          <w:szCs w:val="24"/>
          <w:lang w:eastAsia="es-MX"/>
        </w:rPr>
      </w:pPr>
      <w:r w:rsidRPr="00374FD9">
        <w:rPr>
          <w:rFonts w:ascii="Times New Roman" w:eastAsia="Times New Roman" w:hAnsi="Times New Roman" w:cs="Times New Roman"/>
          <w:sz w:val="24"/>
          <w:szCs w:val="24"/>
          <w:lang w:eastAsia="es-MX"/>
        </w:rPr>
        <w:t>Disponible bajo NDA vinculante: documentación técnica exhaustiva, código RTL Verilog, esquemas de constraints, evidencias de validación FPGA, especificación física de materiales y protocolo de transferencia tecnológica.</w:t>
      </w:r>
    </w:p>
    <w:p w14:paraId="7A0FB41A" w14:textId="77777777" w:rsidR="005466A5" w:rsidRDefault="005466A5"/>
    <w:sectPr w:rsidR="005466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7D8"/>
    <w:multiLevelType w:val="multilevel"/>
    <w:tmpl w:val="133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34A20"/>
    <w:multiLevelType w:val="multilevel"/>
    <w:tmpl w:val="F118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B633F6"/>
    <w:multiLevelType w:val="multilevel"/>
    <w:tmpl w:val="631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E4A76"/>
    <w:multiLevelType w:val="multilevel"/>
    <w:tmpl w:val="C89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34DA3"/>
    <w:multiLevelType w:val="multilevel"/>
    <w:tmpl w:val="3464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C64EA"/>
    <w:multiLevelType w:val="multilevel"/>
    <w:tmpl w:val="79EC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B6A8B"/>
    <w:multiLevelType w:val="multilevel"/>
    <w:tmpl w:val="5C6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08427">
    <w:abstractNumId w:val="6"/>
  </w:num>
  <w:num w:numId="2" w16cid:durableId="1260217836">
    <w:abstractNumId w:val="1"/>
  </w:num>
  <w:num w:numId="3" w16cid:durableId="1437600661">
    <w:abstractNumId w:val="5"/>
  </w:num>
  <w:num w:numId="4" w16cid:durableId="1466854793">
    <w:abstractNumId w:val="3"/>
  </w:num>
  <w:num w:numId="5" w16cid:durableId="1769349550">
    <w:abstractNumId w:val="4"/>
  </w:num>
  <w:num w:numId="6" w16cid:durableId="1081440364">
    <w:abstractNumId w:val="2"/>
  </w:num>
  <w:num w:numId="7" w16cid:durableId="58857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FD9"/>
    <w:rsid w:val="00222D0A"/>
    <w:rsid w:val="00374FD9"/>
    <w:rsid w:val="004A7C87"/>
    <w:rsid w:val="005466A5"/>
    <w:rsid w:val="008649EC"/>
    <w:rsid w:val="00B13A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5A916"/>
  <w15:chartTrackingRefBased/>
  <w15:docId w15:val="{4B5CE240-8EAF-4DCD-85AB-BEFE23B50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4F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Heading2">
    <w:name w:val="heading 2"/>
    <w:basedOn w:val="Normal"/>
    <w:link w:val="Heading2Char"/>
    <w:uiPriority w:val="9"/>
    <w:qFormat/>
    <w:rsid w:val="00374FD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Heading3">
    <w:name w:val="heading 3"/>
    <w:basedOn w:val="Normal"/>
    <w:link w:val="Heading3Char"/>
    <w:uiPriority w:val="9"/>
    <w:qFormat/>
    <w:rsid w:val="00374FD9"/>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FD9"/>
    <w:rPr>
      <w:rFonts w:ascii="Times New Roman" w:eastAsia="Times New Roman" w:hAnsi="Times New Roman" w:cs="Times New Roman"/>
      <w:b/>
      <w:bCs/>
      <w:kern w:val="36"/>
      <w:sz w:val="48"/>
      <w:szCs w:val="48"/>
      <w:lang w:eastAsia="es-MX"/>
    </w:rPr>
  </w:style>
  <w:style w:type="character" w:customStyle="1" w:styleId="Heading2Char">
    <w:name w:val="Heading 2 Char"/>
    <w:basedOn w:val="DefaultParagraphFont"/>
    <w:link w:val="Heading2"/>
    <w:uiPriority w:val="9"/>
    <w:rsid w:val="00374FD9"/>
    <w:rPr>
      <w:rFonts w:ascii="Times New Roman" w:eastAsia="Times New Roman" w:hAnsi="Times New Roman" w:cs="Times New Roman"/>
      <w:b/>
      <w:bCs/>
      <w:sz w:val="36"/>
      <w:szCs w:val="36"/>
      <w:lang w:eastAsia="es-MX"/>
    </w:rPr>
  </w:style>
  <w:style w:type="character" w:customStyle="1" w:styleId="Heading3Char">
    <w:name w:val="Heading 3 Char"/>
    <w:basedOn w:val="DefaultParagraphFont"/>
    <w:link w:val="Heading3"/>
    <w:uiPriority w:val="9"/>
    <w:rsid w:val="00374FD9"/>
    <w:rPr>
      <w:rFonts w:ascii="Times New Roman" w:eastAsia="Times New Roman" w:hAnsi="Times New Roman" w:cs="Times New Roman"/>
      <w:b/>
      <w:bCs/>
      <w:sz w:val="27"/>
      <w:szCs w:val="27"/>
      <w:lang w:eastAsia="es-MX"/>
    </w:rPr>
  </w:style>
  <w:style w:type="paragraph" w:customStyle="1" w:styleId="whitespace-pre-wrap">
    <w:name w:val="whitespace-pre-wrap"/>
    <w:basedOn w:val="Normal"/>
    <w:rsid w:val="00374FD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Strong">
    <w:name w:val="Strong"/>
    <w:basedOn w:val="DefaultParagraphFont"/>
    <w:uiPriority w:val="22"/>
    <w:qFormat/>
    <w:rsid w:val="00374FD9"/>
    <w:rPr>
      <w:b/>
      <w:bCs/>
    </w:rPr>
  </w:style>
  <w:style w:type="character" w:styleId="Emphasis">
    <w:name w:val="Emphasis"/>
    <w:basedOn w:val="DefaultParagraphFont"/>
    <w:uiPriority w:val="20"/>
    <w:qFormat/>
    <w:rsid w:val="00374FD9"/>
    <w:rPr>
      <w:i/>
      <w:iCs/>
    </w:rPr>
  </w:style>
  <w:style w:type="character" w:customStyle="1" w:styleId="katex-mathml">
    <w:name w:val="katex-mathml"/>
    <w:basedOn w:val="DefaultParagraphFont"/>
    <w:rsid w:val="00374FD9"/>
  </w:style>
  <w:style w:type="character" w:customStyle="1" w:styleId="mord">
    <w:name w:val="mord"/>
    <w:basedOn w:val="DefaultParagraphFont"/>
    <w:rsid w:val="00374FD9"/>
  </w:style>
  <w:style w:type="character" w:customStyle="1" w:styleId="mopen">
    <w:name w:val="mopen"/>
    <w:basedOn w:val="DefaultParagraphFont"/>
    <w:rsid w:val="00374FD9"/>
  </w:style>
  <w:style w:type="character" w:customStyle="1" w:styleId="mclose">
    <w:name w:val="mclose"/>
    <w:basedOn w:val="DefaultParagraphFont"/>
    <w:rsid w:val="00374FD9"/>
  </w:style>
  <w:style w:type="paragraph" w:customStyle="1" w:styleId="whitespace-normal">
    <w:name w:val="whitespace-normal"/>
    <w:basedOn w:val="Normal"/>
    <w:rsid w:val="00374FD9"/>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848560">
      <w:bodyDiv w:val="1"/>
      <w:marLeft w:val="0"/>
      <w:marRight w:val="0"/>
      <w:marTop w:val="0"/>
      <w:marBottom w:val="0"/>
      <w:divBdr>
        <w:top w:val="none" w:sz="0" w:space="0" w:color="auto"/>
        <w:left w:val="none" w:sz="0" w:space="0" w:color="auto"/>
        <w:bottom w:val="none" w:sz="0" w:space="0" w:color="auto"/>
        <w:right w:val="none" w:sz="0" w:space="0" w:color="auto"/>
      </w:divBdr>
      <w:divsChild>
        <w:div w:id="264121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959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2920</Words>
  <Characters>16650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Erick Tlaltecatl Morales</dc:creator>
  <cp:keywords/>
  <dc:description/>
  <cp:lastModifiedBy>Don McHugh</cp:lastModifiedBy>
  <cp:revision>2</cp:revision>
  <dcterms:created xsi:type="dcterms:W3CDTF">2026-05-01T20:04:00Z</dcterms:created>
  <dcterms:modified xsi:type="dcterms:W3CDTF">2026-06-05T17:55:00Z</dcterms:modified>
</cp:coreProperties>
</file>