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7285"/>
          <w:sz w:val="20"/>
        </w:rPr>
        <w:t>DEE UNIVERSE v24</w:t>
      </w:r>
    </w:p>
    <w:p>
      <w:pPr>
        <w:pStyle w:val="Title"/>
        <w:jc w:val="left"/>
      </w:pPr>
      <w:r>
        <w:t>BILINGUAL OUTREACH MASTER GUIDE</w:t>
      </w:r>
    </w:p>
    <w:p>
      <w:r>
        <w:rPr>
          <w:b/>
          <w:color w:val="123B5D"/>
          <w:sz w:val="26"/>
        </w:rPr>
        <w:t>One integrated package for scientific, editorial, technology, investment and philanthropic outreach</w:t>
      </w:r>
    </w:p>
    <w:p>
      <w:pPr>
        <w:spacing w:before="240"/>
      </w:pPr>
    </w:p>
    <w:tbl>
      <w:tblPr>
        <w:tblW w:type="auto" w:w="0"/>
        <w:jc w:val="left"/>
        <w:tblLayout w:type="autofit"/>
        <w:tblLook w:firstColumn="1" w:firstRow="1" w:lastColumn="0" w:lastRow="0" w:noHBand="0" w:noVBand="1" w:val="04A0"/>
      </w:tblPr>
      <w:tblGrid>
        <w:gridCol w:w="4997"/>
        <w:gridCol w:w="4997"/>
      </w:tblGrid>
      <w:tr>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Audience</w:t>
            </w:r>
          </w:p>
        </w:tc>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Project author and outreach team</w:t>
            </w:r>
          </w:p>
        </w:tc>
      </w:tr>
      <w:tr>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color w:val="123B5D"/>
                <w:sz w:val="19"/>
              </w:rPr>
              <w:t>Edition</w:t>
            </w:r>
          </w:p>
        </w:tc>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val="0"/>
                <w:color w:val="16212B"/>
                <w:sz w:val="19"/>
              </w:rPr>
              <w:t>23 July 2026</w:t>
            </w:r>
          </w:p>
        </w:tc>
      </w:tr>
    </w:tbl>
    <w:p>
      <w:r>
        <w:br w:type="page"/>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USE ONE ZIP, NOT MULTIPLE DOWNLOADS</w:t>
            </w:r>
          </w:p>
          <w:p>
            <w:pPr>
              <w:spacing w:after="0" w:line="252" w:lineRule="auto"/>
            </w:pPr>
            <w:r>
              <w:t>This package is designed as a single working folder. Choose the recipient type, copy the exact email, attach the listed documents in the recipient language, add the website link, and send. Do not attach the full manuals, kernel internals or raw logs on first contact.</w:t>
            </w:r>
          </w:p>
        </w:tc>
      </w:tr>
    </w:tbl>
    <w:p>
      <w:pPr>
        <w:spacing w:after="0"/>
      </w:pPr>
    </w:p>
    <w:p>
      <w:pPr>
        <w:pStyle w:val="Heading1"/>
      </w:pPr>
      <w:r>
        <w:t>1. The positioning</w:t>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THE BOLD VERSION</w:t>
            </w:r>
          </w:p>
          <w:p>
            <w:pPr>
              <w:spacing w:after="0" w:line="252" w:lineRule="auto"/>
            </w:pPr>
            <w:r>
              <w:t>One protected generative dynamics has already produced a reproducible three-dimensional computational ecology: persistent structures, oscillators, directed propagation, geometric state creation, reaction systems, porous digital materials and long-horizon threshold events. The immediate claim is computational. The deeper hypothesis is that DEE may imitate a geometric-informational layer more fundamental than familiar effective physics. Do not accept the hypothesis—try to falsify it.</w:t>
            </w:r>
          </w:p>
        </w:tc>
      </w:tr>
    </w:tbl>
    <w:p>
      <w:pPr>
        <w:spacing w:after="0"/>
      </w:pPr>
    </w:p>
    <w:p>
      <w:r>
        <w:t>This language is intentionally ambitious. It does not state that DEE has replaced quantum mechanics, relativity or the Standard Model. It asks recipients to evaluate an executable system whose behavior already exists inside the engine.</w:t>
      </w:r>
    </w:p>
    <w:p>
      <w:pPr>
        <w:pStyle w:val="Heading1"/>
      </w:pPr>
      <w:r>
        <w:t>2. What to send on first contact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94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Recipient</w:t>
            </w:r>
          </w:p>
        </w:tc>
        <w:tc>
          <w:tcPr>
            <w:tcW w:type="dxa" w:w="2448"/>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Use this email</w:t>
            </w:r>
          </w:p>
        </w:tc>
        <w:tc>
          <w:tcPr>
            <w:tcW w:type="dxa" w:w="338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Attach</w:t>
            </w:r>
          </w:p>
        </w:tc>
        <w:tc>
          <w:tcPr>
            <w:tcW w:type="dxa" w:w="2592"/>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Single request</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Scientists / institutes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Email from the scientific playbook</w:t>
            </w:r>
          </w:p>
        </w:tc>
        <w:tc>
          <w:tcPr>
            <w:tcW w:type="dxa" w:w="338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Executive One-Pager + Technical Evidence Brief + Capabilities Matrix + Evaluation Protocol</w:t>
            </w:r>
          </w:p>
        </w:tc>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6"/>
              </w:rPr>
              <w:t>Request independent replication or routing to the correct evaluator.</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Journals / conferences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Editorial inquiry from the journal playbook</w:t>
            </w:r>
          </w:p>
        </w:tc>
        <w:tc>
          <w:tcPr>
            <w:tcW w:type="dxa" w:w="338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Executive One-Pager only; attach the technical brief only if the venue accepts presubmission material</w:t>
            </w:r>
          </w:p>
        </w:tc>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Ask whether the scoped computational manuscript fits the venue.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Technology companies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Email from the technology playbook</w:t>
            </w:r>
          </w:p>
        </w:tc>
        <w:tc>
          <w:tcPr>
            <w:tcW w:type="dxa" w:w="338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Executive One-Pager + Technical Evidence Brief + Capabilities Matrix</w:t>
            </w:r>
          </w:p>
        </w:tc>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6"/>
              </w:rPr>
              <w:t>Request a 30-minute screening for one bounded pilot.</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Investors / deep-tech funds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Email from the investor playbook</w:t>
            </w:r>
          </w:p>
        </w:tc>
        <w:tc>
          <w:tcPr>
            <w:tcW w:type="dxa" w:w="338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Executive One-Pager + Capabilities Matrix + Technical Evidence Brief</w:t>
            </w:r>
          </w:p>
        </w:tc>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6"/>
              </w:rPr>
              <w:t>Request a diligence call focused on independent replication and one product wedge.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Foundations / patrons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Email from the foundation playbook</w:t>
            </w:r>
          </w:p>
        </w:tc>
        <w:tc>
          <w:tcPr>
            <w:tcW w:type="dxa" w:w="338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Executive One-Pager + Evaluation Protocol + Capabilities Matrix</w:t>
            </w:r>
          </w:p>
        </w:tc>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Ask them to fund the test, not the conclusion.</w:t>
            </w:r>
          </w:p>
        </w:tc>
      </w:tr>
    </w:tbl>
    <w:p>
      <w:pPr>
        <w:spacing w:after="0"/>
      </w:pPr>
    </w:p>
    <w:p>
      <w:pPr>
        <w:pStyle w:val="Heading1"/>
      </w:pPr>
      <w:r>
        <w:t>3. Language rule</w:t>
      </w:r>
    </w:p>
    <w:p>
      <w:pPr>
        <w:pStyle w:val="ListBullet"/>
        <w:spacing w:after="40"/>
      </w:pPr>
      <w:r>
        <w:t>Use English by default for international recipients.</w:t>
      </w:r>
    </w:p>
    <w:p>
      <w:pPr>
        <w:pStyle w:val="ListBullet"/>
        <w:spacing w:after="40"/>
      </w:pPr>
      <w:r>
        <w:t>Use Spanish for contacts in Mexico, Latin America or Spanish-speaking institutions unless their official working language is English.</w:t>
      </w:r>
    </w:p>
    <w:p>
      <w:pPr>
        <w:pStyle w:val="ListBullet"/>
        <w:spacing w:after="40"/>
      </w:pPr>
      <w:r>
        <w:t>Do not attach both language versions unless the recipient asks for them.</w:t>
      </w:r>
    </w:p>
    <w:p>
      <w:pPr>
        <w:pStyle w:val="ListBullet"/>
        <w:spacing w:after="40"/>
      </w:pPr>
      <w:r>
        <w:t>Replace every bracketed field before sending: [NAME], [ORGANIZATION], [WEBSITE], [EMAIL], [SPECIFIC REASON].</w:t>
      </w:r>
    </w:p>
    <w:p>
      <w:pPr>
        <w:pStyle w:val="Heading1"/>
      </w:pPr>
      <w:r>
        <w:t>4. First-contact sequence</w:t>
      </w:r>
    </w:p>
    <w:p>
      <w:pPr>
        <w:pStyle w:val="ListNumber"/>
        <w:spacing w:after="40"/>
      </w:pPr>
      <w:r>
        <w:t>Open the contact directory and select 10–20 high-priority routes.</w:t>
      </w:r>
    </w:p>
    <w:p>
      <w:pPr>
        <w:pStyle w:val="ListNumber"/>
        <w:spacing w:after="40"/>
      </w:pPr>
      <w:r>
        <w:t>Confirm that the public email and recipient restrictions are still valid on the cited official source.</w:t>
      </w:r>
    </w:p>
    <w:p>
      <w:pPr>
        <w:pStyle w:val="ListNumber"/>
        <w:spacing w:after="40"/>
      </w:pPr>
      <w:r>
        <w:t>Choose the correct audience playbook and personalize the first two sentences.</w:t>
      </w:r>
    </w:p>
    <w:p>
      <w:pPr>
        <w:pStyle w:val="ListNumber"/>
        <w:spacing w:after="40"/>
      </w:pPr>
      <w:r>
        <w:t>Attach only the files listed in the send matrix.</w:t>
      </w:r>
    </w:p>
    <w:p>
      <w:pPr>
        <w:pStyle w:val="ListNumber"/>
        <w:spacing w:after="40"/>
      </w:pPr>
      <w:r>
        <w:t>Use one clear request: evaluation, editorial fit, pilot, diligence or validation funding.</w:t>
      </w:r>
    </w:p>
    <w:p>
      <w:pPr>
        <w:pStyle w:val="ListNumber"/>
        <w:spacing w:after="40"/>
      </w:pPr>
      <w:r>
        <w:t>Wait 7–10 business days and send one concise follow-up.</w:t>
      </w:r>
    </w:p>
    <w:p>
      <w:pPr>
        <w:pStyle w:val="ListNumber"/>
        <w:spacing w:after="40"/>
      </w:pPr>
      <w:r>
        <w:t>Do not send the wheel, source, complete logs, exact tensors or private manuals until access terms are agreed.</w:t>
      </w:r>
    </w:p>
    <w:p>
      <w:pPr>
        <w:pStyle w:val="Heading1"/>
      </w:pPr>
      <w:r>
        <w:t>5. Follow-up rhythm</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1440"/>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When</w:t>
            </w:r>
          </w:p>
        </w:tc>
        <w:tc>
          <w:tcPr>
            <w:tcW w:type="dxa" w:w="4320"/>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Action</w:t>
            </w:r>
          </w:p>
        </w:tc>
        <w:tc>
          <w:tcPr>
            <w:tcW w:type="dxa" w:w="4032"/>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Purpose</w:t>
            </w:r>
          </w:p>
        </w:tc>
      </w:tr>
      <w:tr>
        <w:trPr>
          <w:cantSplit w:val="true"/>
        </w:trPr>
        <w:tc>
          <w:tcPr>
            <w:tcW w:type="dxa" w:w="144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Day 0</w:t>
            </w:r>
          </w:p>
        </w:tc>
        <w:tc>
          <w:tcPr>
            <w:tcW w:type="dxa" w:w="432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Initial email with the exact first-contact attachments.</w:t>
            </w:r>
          </w:p>
        </w:tc>
        <w:tc>
          <w:tcPr>
            <w:tcW w:type="dxa" w:w="403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Create interest without creating information overload.</w:t>
            </w:r>
          </w:p>
        </w:tc>
      </w:tr>
      <w:tr>
        <w:trPr>
          <w:cantSplit w:val="true"/>
        </w:trPr>
        <w:tc>
          <w:tcPr>
            <w:tcW w:type="dxa" w:w="144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Day 7–10</w:t>
            </w:r>
          </w:p>
        </w:tc>
        <w:tc>
          <w:tcPr>
            <w:tcW w:type="dxa" w:w="432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One follow-up with a single sentence of new value or a 60–90 second demo link.</w:t>
            </w:r>
          </w:p>
        </w:tc>
        <w:tc>
          <w:tcPr>
            <w:tcW w:type="dxa" w:w="403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Make the message easier to route internally.</w:t>
            </w:r>
          </w:p>
        </w:tc>
      </w:tr>
      <w:tr>
        <w:trPr>
          <w:cantSplit w:val="true"/>
        </w:trPr>
        <w:tc>
          <w:tcPr>
            <w:tcW w:type="dxa" w:w="144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Day 21</w:t>
            </w:r>
          </w:p>
        </w:tc>
        <w:tc>
          <w:tcPr>
            <w:tcW w:type="dxa" w:w="432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Close the thread politely or ask for the correct recipient.</w:t>
            </w:r>
          </w:p>
        </w:tc>
        <w:tc>
          <w:tcPr>
            <w:tcW w:type="dxa" w:w="403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Avoid repeated unsolicited outreach.</w:t>
            </w:r>
          </w:p>
        </w:tc>
      </w:tr>
      <w:tr>
        <w:trPr>
          <w:cantSplit w:val="true"/>
        </w:trPr>
        <w:tc>
          <w:tcPr>
            <w:tcW w:type="dxa" w:w="144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After interest</w:t>
            </w:r>
          </w:p>
        </w:tc>
        <w:tc>
          <w:tcPr>
            <w:tcW w:type="dxa" w:w="4320"/>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Provide controlled evidence according to the agreed access level.</w:t>
            </w:r>
          </w:p>
        </w:tc>
        <w:tc>
          <w:tcPr>
            <w:tcW w:type="dxa" w:w="403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Move from attention to independent evaluation.</w:t>
            </w:r>
          </w:p>
        </w:tc>
      </w:tr>
    </w:tbl>
    <w:p>
      <w:pPr>
        <w:spacing w:after="0"/>
      </w:pPr>
    </w:p>
    <w:p>
      <w:pPr>
        <w:pStyle w:val="Heading1"/>
      </w:pPr>
      <w:r>
        <w:t>6. Spanish operating summary</w:t>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POSICIONAMIENTO CENTRAL</w:t>
            </w:r>
          </w:p>
          <w:p>
            <w:pPr>
              <w:spacing w:after="0" w:line="252" w:lineRule="auto"/>
            </w:pPr>
            <w:r>
              <w:t>Una sola dinámica generadora protegida ya produjo una ecología computacional tridimensional reproducible: estructuras persistentes, osciladores, propagación dirigida, génesis geométrica de estados, sistemas de reacción, materiales digitales porosos y eventos de umbral de larga duración. La afirmación inmediata es computacional. La hipótesis más profunda es que DEE podría imitar una capa geométrico-informacional más fundamental que las descripciones físicas efectivas conocidas. No se pide aceptar la hipótesis: se pide intentar refutarla.</w:t>
            </w:r>
          </w:p>
        </w:tc>
      </w:tr>
    </w:tbl>
    <w:p>
      <w:pPr>
        <w:spacing w:after="0"/>
      </w:pPr>
    </w:p>
    <w:p>
      <w:r>
        <w:t>El procedimiento es el mismo: seleccionar el tipo de destinatario, copiar el correo exacto en español o inglés, adjuntar únicamente los documentos indicados y solicitar una sola acción concreta.</w:t>
      </w:r>
    </w:p>
    <w:p>
      <w:pPr>
        <w:pStyle w:val="Heading1"/>
      </w:pPr>
      <w:r>
        <w:t>7. Package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1872"/>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Folder</w:t>
            </w:r>
          </w:p>
        </w:tc>
        <w:tc>
          <w:tcPr>
            <w:tcW w:type="dxa" w:w="4608"/>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Contents</w:t>
            </w:r>
          </w:p>
        </w:tc>
        <w:tc>
          <w:tcPr>
            <w:tcW w:type="dxa" w:w="3312"/>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Use</w:t>
            </w:r>
          </w:p>
        </w:tc>
      </w:tr>
      <w:tr>
        <w:trPr>
          <w:cantSplit w:val="true"/>
        </w:trPr>
        <w:tc>
          <w:tcPr>
            <w:tcW w:type="dxa" w:w="187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01_CORE_EN</w:t>
            </w:r>
          </w:p>
        </w:tc>
        <w:tc>
          <w:tcPr>
            <w:tcW w:type="dxa" w:w="460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Four English attachments ready for international outreach.</w:t>
            </w:r>
          </w:p>
        </w:tc>
        <w:tc>
          <w:tcPr>
            <w:tcW w:type="dxa" w:w="331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Attach to English-language first contacts.</w:t>
            </w:r>
          </w:p>
        </w:tc>
      </w:tr>
      <w:tr>
        <w:trPr>
          <w:cantSplit w:val="true"/>
        </w:trPr>
        <w:tc>
          <w:tcPr>
            <w:tcW w:type="dxa" w:w="187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02_CORE_ES</w:t>
            </w:r>
          </w:p>
        </w:tc>
        <w:tc>
          <w:tcPr>
            <w:tcW w:type="dxa" w:w="460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Four Spanish attachments.</w:t>
            </w:r>
          </w:p>
        </w:tc>
        <w:tc>
          <w:tcPr>
            <w:tcW w:type="dxa" w:w="331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Attach to Spanish-language first contacts.</w:t>
            </w:r>
          </w:p>
        </w:tc>
      </w:tr>
      <w:tr>
        <w:trPr>
          <w:cantSplit w:val="true"/>
        </w:trPr>
        <w:tc>
          <w:tcPr>
            <w:tcW w:type="dxa" w:w="187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03_AUDIENCE_PLAYBOOKS</w:t>
            </w:r>
          </w:p>
        </w:tc>
        <w:tc>
          <w:tcPr>
            <w:tcW w:type="dxa" w:w="460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Exact emails, subject lines, follow-ups and attachment rules.</w:t>
            </w:r>
          </w:p>
        </w:tc>
        <w:tc>
          <w:tcPr>
            <w:tcW w:type="dxa" w:w="331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Internal use; copy and personalize.</w:t>
            </w:r>
          </w:p>
        </w:tc>
      </w:tr>
      <w:tr>
        <w:trPr>
          <w:cantSplit w:val="true"/>
        </w:trPr>
        <w:tc>
          <w:tcPr>
            <w:tcW w:type="dxa" w:w="187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04_CONTACTS</w:t>
            </w:r>
          </w:p>
        </w:tc>
        <w:tc>
          <w:tcPr>
            <w:tcW w:type="dxa" w:w="460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Existing 100-route public contact directory and priority list.</w:t>
            </w:r>
          </w:p>
        </w:tc>
        <w:tc>
          <w:tcPr>
            <w:tcW w:type="dxa" w:w="331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Select targets and verify the source before each send.</w:t>
            </w:r>
          </w:p>
        </w:tc>
      </w:tr>
      <w:tr>
        <w:trPr>
          <w:cantSplit w:val="true"/>
        </w:trPr>
        <w:tc>
          <w:tcPr>
            <w:tcW w:type="dxa" w:w="187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05_AUDIT</w:t>
            </w:r>
          </w:p>
        </w:tc>
        <w:tc>
          <w:tcPr>
            <w:tcW w:type="dxa" w:w="460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Claims, disclosure and boldness audit.</w:t>
            </w:r>
          </w:p>
        </w:tc>
        <w:tc>
          <w:tcPr>
            <w:tcW w:type="dxa" w:w="331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Keep public messaging inside the approved claim boundaries.</w:t>
            </w:r>
          </w:p>
        </w:tc>
      </w:tr>
    </w:tbl>
    <w:p>
      <w:pPr>
        <w:spacing w:after="0"/>
      </w:pP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6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B728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