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285"/>
          <w:sz w:val="18"/>
        </w:rPr>
        <w:t>DEE UNIVERSE v24</w:t>
      </w:r>
    </w:p>
    <w:p>
      <w:pPr>
        <w:pStyle w:val="Title"/>
      </w:pPr>
      <w:r>
        <w:t>DEMONSTRATED CAPABILITIES MATRIX</w:t>
      </w:r>
    </w:p>
    <w:p>
      <w:r>
        <w:rPr>
          <w:b/>
          <w:color w:val="123B5D"/>
          <w:sz w:val="23"/>
        </w:rPr>
        <w:t>Observed evidence, claim boundary and technology path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READING RULE</w:t>
            </w:r>
          </w:p>
          <w:p>
            <w:pPr>
              <w:spacing w:after="0" w:line="252" w:lineRule="auto"/>
            </w:pPr>
            <w:r>
              <w:t>“Demonstrated” means executed inside DEE v24 under the reported conditions. It does not mean universal, physically equivalent or superior to all alternatives.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  <w:cantSplit w:val="true"/>
        </w:trPr>
        <w:tc>
          <w:tcPr>
            <w:tcW w:type="dxa" w:w="180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88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008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3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Opportunity</w:t>
            </w:r>
          </w:p>
        </w:tc>
        <w:tc>
          <w:tcPr>
            <w:tcW w:type="dxa" w:w="223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Boundary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Persistent geometry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Finite-horizon occupancy preserved.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Memory and modules.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infinite stability.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Geometric state creation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270 → 279 active positions.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Spatial logic.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physical mass/energy.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Directed propagation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40 positions in 40 ticks.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Signals and channels.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physical light speed.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Period-2 oscillation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Exact A↔B regimes.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Clocks and synchronization.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perpetual motion.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Reaction system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98 controlled interactions.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Digital chemistry.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universal chemistry.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Digital ballistics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12 barrier/object comparisons.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Digital materials.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physical armor.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Automated taxonomy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Nine recurrent signatures.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Discovery and classification.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nature’s full periodic table.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Porous macrostructure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6,488 / 13,824 = 46.93%.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Porosity optimization.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a universal optimum.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Topological sink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Residues 14 → 0; structure 125 → 126.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Absorption and cleanup.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black-hole gravity.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Long-horizon threshold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New occupancy at terminal deep event.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Rare-event research.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physical energy harvesting.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AI benchmark potential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Deterministic 3D labeled trajectories.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Build-ready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World models and rule inference.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 AI advantage yet.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Universal computation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Separate memory/signal/clock/switch candidates.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Open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Compose gates and circuits.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Turing complete.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Fundamental physics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Rich emergent computational phenomenology.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Hypothesis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Test deeper correspondences.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5"/>
              </w:rPr>
              <w:t>Not validated natural law.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APPROVED POSITIONING</w:t>
            </w:r>
          </w:p>
          <w:p>
            <w:pPr>
              <w:spacing w:after="0" w:line="252" w:lineRule="auto"/>
            </w:pPr>
            <w:r>
              <w:t>DEE already has real computational value because the behaviors were executed, measured and preserved. Comparative disruption requires benchmarks. DEE may imitate a deeper geometric-informational layer of reality; this remains a research hypothesis, not a validated conclusion.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6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