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7285"/>
          <w:sz w:val="18"/>
        </w:rPr>
        <w:t>DEE UNIVERSE v24</w:t>
      </w:r>
    </w:p>
    <w:p>
      <w:pPr>
        <w:pStyle w:val="Title"/>
      </w:pPr>
      <w:r>
        <w:t>EXECUTIVE ONE-PAGER</w:t>
      </w:r>
    </w:p>
    <w:p>
      <w:r>
        <w:rPr>
          <w:b/>
          <w:color w:val="123B5D"/>
          <w:sz w:val="23"/>
        </w:rPr>
        <w:t>One protected dynamics. Reproducible 3D phenomena. A hypothesis designed to be tested.</w:t>
      </w:r>
    </w:p>
    <w:tbl>
      <w:tblPr>
        <w:tblW w:type="auto" w:w="0"/>
        <w:jc w:val="left"/>
        <w:tblLook w:firstColumn="1" w:firstRow="1" w:lastColumn="0" w:lastRow="0" w:noHBand="0" w:noVBand="1" w:val="04A0"/>
      </w:tblPr>
      <w:tblGrid>
        <w:gridCol w:w="10570"/>
      </w:tblGrid>
      <w:tr>
        <w:tc>
          <w:tcPr>
            <w:tcW w:type="dxa" w:w="10570"/>
            <w:shd w:fill="D9F3F6"/>
            <w:tcMar>
              <w:top w:w="160" w:type="dxa"/>
              <w:start w:w="180" w:type="dxa"/>
              <w:bottom w:w="160" w:type="dxa"/>
              <w:end w:w="180" w:type="dxa"/>
            </w:tcMar>
          </w:tcPr>
          <w:p>
            <w:pPr>
              <w:spacing w:after="80"/>
            </w:pPr>
            <w:r/>
            <w:r>
              <w:rPr>
                <w:b/>
                <w:color w:val="0B7285"/>
                <w:sz w:val="22"/>
              </w:rPr>
              <w:t>THE PROPOSITION</w:t>
            </w:r>
          </w:p>
          <w:p>
            <w:pPr>
              <w:spacing w:after="0" w:line="252" w:lineRule="auto"/>
            </w:pPr>
            <w:r>
              <w:t>DEE Universe v24 is a compiled deterministic 3D engine in which one protected generative structure produces multiple classes of behavior under the same local dynamics. The computational phenomena already exist. The deeper physical interpretation remains an open hypothesis.</w:t>
            </w:r>
          </w:p>
        </w:tc>
      </w:tr>
    </w:tbl>
    <w:p>
      <w:pPr>
        <w:spacing w:after="0"/>
      </w:pPr>
    </w:p>
    <w:tbl>
      <w:tblPr>
        <w:tblW w:type="auto" w:w="0"/>
        <w:jc w:val="center"/>
        <w:tblLook w:firstColumn="1" w:firstRow="1" w:lastColumn="0" w:lastRow="0" w:noHBand="0" w:noVBand="1" w:val="04A0"/>
      </w:tblPr>
      <w:tblGrid>
        <w:gridCol w:w="2114"/>
        <w:gridCol w:w="2114"/>
        <w:gridCol w:w="2114"/>
        <w:gridCol w:w="2114"/>
        <w:gridCol w:w="2114"/>
      </w:tblGrid>
      <w:tr>
        <w:tc>
          <w:tcPr>
            <w:tcW w:type="dxa" w:w="2114"/>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30"/>
              </w:rPr>
              <w:t>98</w:t>
            </w:r>
          </w:p>
        </w:tc>
        <w:tc>
          <w:tcPr>
            <w:tcW w:type="dxa" w:w="2114"/>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30"/>
              </w:rPr>
              <w:t>12</w:t>
            </w:r>
          </w:p>
        </w:tc>
        <w:tc>
          <w:tcPr>
            <w:tcW w:type="dxa" w:w="2114"/>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30"/>
              </w:rPr>
              <w:t>9</w:t>
            </w:r>
          </w:p>
        </w:tc>
        <w:tc>
          <w:tcPr>
            <w:tcW w:type="dxa" w:w="2114"/>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30"/>
              </w:rPr>
              <w:t>22</w:t>
            </w:r>
          </w:p>
        </w:tc>
        <w:tc>
          <w:tcPr>
            <w:tcW w:type="dxa" w:w="2114"/>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30"/>
              </w:rPr>
              <w:t>7.68M</w:t>
            </w:r>
          </w:p>
        </w:tc>
      </w:tr>
      <w:tr>
        <w:tc>
          <w:tcPr>
            <w:tcW w:type="dxa" w:w="2114"/>
            <w:shd w:fill="EEF4F7"/>
            <w:vAlign w:val="center"/>
            <w:tcMar>
              <w:top w:w="100" w:type="dxa"/>
              <w:start w:w="120" w:type="dxa"/>
              <w:bottom w:w="100" w:type="dxa"/>
              <w:end w:w="120" w:type="dxa"/>
            </w:tcMar>
          </w:tcPr>
          <w:p>
            <w:pPr>
              <w:spacing w:after="0" w:line="252" w:lineRule="auto"/>
              <w:jc w:val="center"/>
            </w:pPr>
            <w:r/>
            <w:r>
              <w:rPr>
                <w:rFonts w:ascii="Aptos" w:hAnsi="Aptos"/>
                <w:b/>
                <w:color w:val="123B5D"/>
                <w:sz w:val="17"/>
              </w:rPr>
              <w:t>controlled interactions</w:t>
            </w:r>
          </w:p>
        </w:tc>
        <w:tc>
          <w:tcPr>
            <w:tcW w:type="dxa" w:w="2114"/>
            <w:shd w:fill="EEF4F7"/>
            <w:vAlign w:val="center"/>
            <w:tcMar>
              <w:top w:w="100" w:type="dxa"/>
              <w:start w:w="120" w:type="dxa"/>
              <w:bottom w:w="100" w:type="dxa"/>
              <w:end w:w="120" w:type="dxa"/>
            </w:tcMar>
          </w:tcPr>
          <w:p>
            <w:pPr>
              <w:spacing w:after="0" w:line="252" w:lineRule="auto"/>
              <w:jc w:val="center"/>
            </w:pPr>
            <w:r/>
            <w:r>
              <w:rPr>
                <w:rFonts w:ascii="Aptos" w:hAnsi="Aptos"/>
                <w:b/>
                <w:color w:val="123B5D"/>
                <w:sz w:val="17"/>
              </w:rPr>
              <w:t>digital-ballistics experiments</w:t>
            </w:r>
          </w:p>
        </w:tc>
        <w:tc>
          <w:tcPr>
            <w:tcW w:type="dxa" w:w="2114"/>
            <w:shd w:fill="EEF4F7"/>
            <w:vAlign w:val="center"/>
            <w:tcMar>
              <w:top w:w="100" w:type="dxa"/>
              <w:start w:w="120" w:type="dxa"/>
              <w:bottom w:w="100" w:type="dxa"/>
              <w:end w:w="120" w:type="dxa"/>
            </w:tcMar>
          </w:tcPr>
          <w:p>
            <w:pPr>
              <w:spacing w:after="0" w:line="252" w:lineRule="auto"/>
              <w:jc w:val="center"/>
            </w:pPr>
            <w:r/>
            <w:r>
              <w:rPr>
                <w:rFonts w:ascii="Aptos" w:hAnsi="Aptos"/>
                <w:b/>
                <w:color w:val="123B5D"/>
                <w:sz w:val="17"/>
              </w:rPr>
              <w:t>recurrent mined signatures</w:t>
            </w:r>
          </w:p>
        </w:tc>
        <w:tc>
          <w:tcPr>
            <w:tcW w:type="dxa" w:w="2114"/>
            <w:shd w:fill="EEF4F7"/>
            <w:vAlign w:val="center"/>
            <w:tcMar>
              <w:top w:w="100" w:type="dxa"/>
              <w:start w:w="120" w:type="dxa"/>
              <w:bottom w:w="100" w:type="dxa"/>
              <w:end w:w="120" w:type="dxa"/>
            </w:tcMar>
          </w:tcPr>
          <w:p>
            <w:pPr>
              <w:spacing w:after="0" w:line="252" w:lineRule="auto"/>
              <w:jc w:val="center"/>
            </w:pPr>
            <w:r/>
            <w:r>
              <w:rPr>
                <w:rFonts w:ascii="Aptos" w:hAnsi="Aptos"/>
                <w:b/>
                <w:color w:val="123B5D"/>
                <w:sz w:val="17"/>
              </w:rPr>
              <w:t>components in one primordial-soup run</w:t>
            </w:r>
          </w:p>
        </w:tc>
        <w:tc>
          <w:tcPr>
            <w:tcW w:type="dxa" w:w="2114"/>
            <w:shd w:fill="EEF4F7"/>
            <w:vAlign w:val="center"/>
            <w:tcMar>
              <w:top w:w="100" w:type="dxa"/>
              <w:start w:w="120" w:type="dxa"/>
              <w:bottom w:w="100" w:type="dxa"/>
              <w:end w:w="120" w:type="dxa"/>
            </w:tcMar>
          </w:tcPr>
          <w:p>
            <w:pPr>
              <w:spacing w:after="0" w:line="252" w:lineRule="auto"/>
              <w:jc w:val="center"/>
            </w:pPr>
            <w:r/>
            <w:r>
              <w:rPr>
                <w:rFonts w:ascii="Aptos" w:hAnsi="Aptos"/>
                <w:b/>
                <w:color w:val="123B5D"/>
                <w:sz w:val="17"/>
              </w:rPr>
              <w:t>ticks in a long-horizon test</w:t>
            </w:r>
          </w:p>
        </w:tc>
      </w:tr>
    </w:tbl>
    <w:p>
      <w:pPr>
        <w:spacing w:after="0"/>
      </w:pPr>
    </w:p>
    <w:tbl>
      <w:tblPr>
        <w:tblStyle w:val="TableGrid"/>
        <w:tblW w:type="auto" w:w="0"/>
        <w:jc w:val="center"/>
        <w:tblLook w:firstColumn="1" w:firstRow="1" w:lastColumn="0" w:lastRow="0" w:noHBand="0" w:noVBand="1" w:val="04A0"/>
      </w:tblPr>
      <w:tblGrid>
        <w:gridCol w:w="5285"/>
        <w:gridCol w:w="5285"/>
      </w:tblGrid>
      <w:tr>
        <w:tc>
          <w:tcPr>
            <w:tcW w:type="dxa" w:w="5285"/>
            <w:shd w:fill="EEF4F7"/>
            <w:tcMar>
              <w:top w:w="130" w:type="dxa"/>
              <w:start w:w="150" w:type="dxa"/>
              <w:bottom w:w="130" w:type="dxa"/>
              <w:end w:w="150" w:type="dxa"/>
            </w:tcMar>
          </w:tcPr>
          <w:p>
            <w:r/>
            <w:r>
              <w:rPr>
                <w:b/>
                <w:color w:val="0B7285"/>
                <w:sz w:val="21"/>
              </w:rPr>
              <w:t>WHAT ALREADY EXISTS</w:t>
            </w:r>
          </w:p>
          <w:p>
            <w:pPr>
              <w:pStyle w:val="ListBullet"/>
              <w:spacing w:after="0" w:line="240" w:lineRule="auto"/>
            </w:pPr>
            <w:r>
              <w:t>Persistent structures and modular digital barriers.</w:t>
            </w:r>
          </w:p>
          <w:p>
            <w:pPr>
              <w:pStyle w:val="ListBullet"/>
              <w:spacing w:after="0" w:line="240" w:lineRule="auto"/>
            </w:pPr>
            <w:r>
              <w:t>Period-2 oscillators and directed propagation.</w:t>
            </w:r>
          </w:p>
          <w:p>
            <w:pPr>
              <w:pStyle w:val="ListBullet"/>
              <w:spacing w:after="0" w:line="240" w:lineRule="auto"/>
            </w:pPr>
            <w:r>
              <w:t>Geometric state creation: 270 → 279 active positions.</w:t>
            </w:r>
          </w:p>
          <w:p>
            <w:pPr>
              <w:pStyle w:val="ListBullet"/>
              <w:spacing w:after="0" w:line="240" w:lineRule="auto"/>
            </w:pPr>
            <w:r>
              <w:t>98 controlled pairwise interactions.</w:t>
            </w:r>
          </w:p>
          <w:p>
            <w:pPr>
              <w:pStyle w:val="ListBullet"/>
              <w:spacing w:after="0" w:line="240" w:lineRule="auto"/>
            </w:pPr>
            <w:r>
              <w:t>12 digital-ballistics experiments.</w:t>
            </w:r>
          </w:p>
          <w:p>
            <w:pPr>
              <w:pStyle w:val="ListBullet"/>
              <w:spacing w:after="0" w:line="240" w:lineRule="auto"/>
            </w:pPr>
            <w:r>
              <w:t>Automated mining of recurrent signatures.</w:t>
            </w:r>
          </w:p>
          <w:p>
            <w:pPr>
              <w:pStyle w:val="ListBullet"/>
              <w:spacing w:after="0" w:line="240" w:lineRule="auto"/>
            </w:pPr>
            <w:r>
              <w:t>Long-horizon threshold behavior in millions of ticks.</w:t>
            </w:r>
          </w:p>
          <w:p>
            <w:pPr>
              <w:pStyle w:val="ListBullet"/>
              <w:spacing w:after="0" w:line="240" w:lineRule="auto"/>
            </w:pPr>
            <w:r>
              <w:t>Audited positive, negative and contradictory results.</w:t>
            </w:r>
          </w:p>
        </w:tc>
        <w:tc>
          <w:tcPr>
            <w:tcW w:type="dxa" w:w="5285"/>
            <w:shd w:fill="FFFFFF"/>
            <w:tcMar>
              <w:top w:w="130" w:type="dxa"/>
              <w:start w:w="150" w:type="dxa"/>
              <w:bottom w:w="130" w:type="dxa"/>
              <w:end w:w="150" w:type="dxa"/>
            </w:tcMar>
          </w:tcPr>
          <w:p>
            <w:r/>
            <w:r>
              <w:rPr>
                <w:b/>
                <w:color w:val="0B7285"/>
                <w:sz w:val="21"/>
              </w:rPr>
              <w:t>THE IMMEDIATE CLAIM</w:t>
            </w:r>
          </w:p>
          <w:p>
            <w:r>
              <w:t>DEE is a functioning computational research platform with reproducible 3D dynamics, telemetry, scripts and a protected compiled kernel.</w:t>
            </w:r>
          </w:p>
          <w:p>
            <w:r>
              <w:rPr>
                <w:b/>
                <w:color w:val="0B7285"/>
                <w:sz w:val="21"/>
              </w:rPr>
              <w:t>THE DEEPER HYPOTHESIS</w:t>
            </w:r>
          </w:p>
          <w:p>
            <w:r>
              <w:t>DEE may imitate a geometric-informational substrate from which effective matter, reactions and computation emerge. This is a falsifiable research program, not validated physics.</w:t>
            </w:r>
          </w:p>
          <w:p>
            <w:r>
              <w:rPr>
                <w:b/>
                <w:color w:val="C96A18"/>
                <w:sz w:val="21"/>
              </w:rPr>
              <w:t>THE REQUEST</w:t>
            </w:r>
          </w:p>
          <w:p>
            <w:r>
              <w:t>Do not accept the hypothesis. Reproduce the bounded results, attack the system, compare it with relevant baselines and state which claims survive.</w:t>
            </w:r>
          </w:p>
          <w:p>
            <w:r>
              <w:rPr>
                <w:b/>
                <w:color w:val="0B7285"/>
                <w:sz w:val="21"/>
              </w:rPr>
              <w:t>ACCESS</w:t>
            </w:r>
          </w:p>
          <w:p>
            <w:r>
              <w:t>A signed wheel, authorized scripts and expanded telemetry can be supplied under controlled evaluation. Source, derivation and reconstruction details remain protected.</w:t>
            </w:r>
          </w:p>
        </w:tc>
      </w:tr>
    </w:tbl>
    <w:sectPr w:rsidR="00FC693F" w:rsidRPr="0006063C" w:rsidSect="00034616">
      <w:pgSz w:w="12240" w:h="15840"/>
      <w:pgMar w:top="691" w:right="835" w:bottom="691"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color w:val="1621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60"/>
      <w:outlineLvl w:val="0"/>
    </w:pPr>
    <w:rPr>
      <w:rFonts w:asciiTheme="majorHAnsi" w:eastAsiaTheme="majorEastAsia" w:hAnsiTheme="majorHAnsi" w:cstheme="majorBidi" w:ascii="Aptos Display" w:hAnsi="Aptos Display"/>
      <w:b/>
      <w:bCs/>
      <w:color w:val="0B1F33"/>
      <w:sz w:val="28"/>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ptos" w:hAnsi="Aptos"/>
      <w:b/>
      <w:bCs/>
      <w:color w:val="0B7285"/>
      <w:sz w:val="23"/>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ascii="Aptos" w:hAnsi="Aptos"/>
      <w:b/>
      <w:bCs/>
      <w:color w:val="123B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80"/>
      <w:contextualSpacing/>
    </w:pPr>
    <w:rPr>
      <w:rFonts w:asciiTheme="majorHAnsi" w:eastAsiaTheme="majorEastAsia" w:hAnsiTheme="majorHAnsi" w:cstheme="majorBidi" w:ascii="Aptos Display" w:hAnsi="Aptos Display"/>
      <w:b/>
      <w:color w:val="0B1F3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