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7285"/>
          <w:sz w:val="20"/>
        </w:rPr>
        <w:t>DEE UNIVERSE v24</w:t>
      </w:r>
    </w:p>
    <w:p>
      <w:pPr>
        <w:pStyle w:val="Title"/>
        <w:jc w:val="left"/>
      </w:pPr>
      <w:r>
        <w:t>INDEPENDENT EVALUATION PROTOCOL</w:t>
      </w:r>
    </w:p>
    <w:p>
      <w:r>
        <w:rPr>
          <w:b/>
          <w:color w:val="123B5D"/>
          <w:sz w:val="26"/>
        </w:rPr>
        <w:t>A staged, falsification-oriented program that protects IP while exposing claims to scrutiny</w:t>
      </w:r>
    </w:p>
    <w:p>
      <w:pPr>
        <w:spacing w:before="2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Independent laboratories, institutes, reviewers and funded evaluators</w:t>
            </w:r>
          </w:p>
        </w:tc>
      </w:tr>
      <w:tr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123B5D"/>
                <w:sz w:val="19"/>
              </w:rPr>
              <w:t>Edition</w:t>
            </w:r>
          </w:p>
        </w:tc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9"/>
              </w:rPr>
              <w:t>23 July 2026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CORE PRINCIPLE</w:t>
            </w:r>
          </w:p>
          <w:p>
            <w:pPr>
              <w:spacing w:after="0" w:line="252" w:lineRule="auto"/>
            </w:pPr>
            <w:r>
              <w:t>The evaluator is not asked to validate a worldview. The evaluator is asked to reproduce a bounded computational corpus, attack it, compare it and publish where it succeeds or fails.</w:t>
            </w:r>
          </w:p>
        </w:tc>
      </w:tr>
    </w:tbl>
    <w:p>
      <w:pPr>
        <w:spacing w:after="0"/>
      </w:pPr>
    </w:p>
    <w:p>
      <w:pPr>
        <w:pStyle w:val="Heading1"/>
      </w:pPr>
      <w:r>
        <w:t>Stage 0 — Chain of custody</w:t>
      </w:r>
    </w:p>
    <w:p>
      <w:pPr>
        <w:pStyle w:val="ListBullet"/>
        <w:spacing w:after="40"/>
      </w:pPr>
      <w:r>
        <w:t>Record wheel hash, version, operating system, hardware and Python environment.</w:t>
      </w:r>
    </w:p>
    <w:p>
      <w:pPr>
        <w:pStyle w:val="ListBullet"/>
        <w:spacing w:after="40"/>
      </w:pPr>
      <w:r>
        <w:t>Verify that scripts run without modification.</w:t>
      </w:r>
    </w:p>
    <w:p>
      <w:pPr>
        <w:pStyle w:val="ListBullet"/>
        <w:spacing w:after="40"/>
      </w:pPr>
      <w:r>
        <w:t>Preserve stdout, logs and output hashes.</w:t>
      </w:r>
    </w:p>
    <w:p>
      <w:pPr>
        <w:pStyle w:val="Heading1"/>
      </w:pPr>
      <w:r>
        <w:t>Stage 1 — Bounded replication</w:t>
      </w:r>
    </w:p>
    <w:p>
      <w:pPr>
        <w:pStyle w:val="ListBullet"/>
        <w:spacing w:after="40"/>
      </w:pPr>
      <w:r>
        <w:t>Persistent geometry suite.</w:t>
      </w:r>
    </w:p>
    <w:p>
      <w:pPr>
        <w:pStyle w:val="ListBullet"/>
        <w:spacing w:after="40"/>
      </w:pPr>
      <w:r>
        <w:t>Geometric genesis result.</w:t>
      </w:r>
    </w:p>
    <w:p>
      <w:pPr>
        <w:pStyle w:val="ListBullet"/>
        <w:spacing w:after="40"/>
      </w:pPr>
      <w:r>
        <w:t>Directed propagation result.</w:t>
      </w:r>
    </w:p>
    <w:p>
      <w:pPr>
        <w:pStyle w:val="ListBullet"/>
        <w:spacing w:after="40"/>
      </w:pPr>
      <w:r>
        <w:t>One period-2 regime.</w:t>
      </w:r>
    </w:p>
    <w:p>
      <w:pPr>
        <w:pStyle w:val="ListBullet"/>
        <w:spacing w:after="40"/>
      </w:pPr>
      <w:r>
        <w:t>A selected subset of proximity and kinetic interactions.</w:t>
      </w:r>
    </w:p>
    <w:p>
      <w:pPr>
        <w:pStyle w:val="ListBullet"/>
        <w:spacing w:after="40"/>
      </w:pPr>
      <w:r>
        <w:t>One dense-versus-porous barrier comparison.</w:t>
      </w:r>
    </w:p>
    <w:p>
      <w:pPr>
        <w:pStyle w:val="ListBullet"/>
        <w:spacing w:after="40"/>
      </w:pPr>
      <w:r>
        <w:t>One automated-mining result.</w:t>
      </w:r>
    </w:p>
    <w:p>
      <w:pPr>
        <w:pStyle w:val="Heading1"/>
      </w:pPr>
      <w:r>
        <w:t>Stage 2 — Determinism and robustness</w:t>
      </w:r>
    </w:p>
    <w:p>
      <w:pPr>
        <w:pStyle w:val="ListBullet"/>
        <w:spacing w:after="40"/>
      </w:pPr>
      <w:r>
        <w:t>Repeat identical seeds and inputs.</w:t>
      </w:r>
    </w:p>
    <w:p>
      <w:pPr>
        <w:pStyle w:val="ListBullet"/>
        <w:spacing w:after="40"/>
      </w:pPr>
      <w:r>
        <w:t>Compare thread counts and supported platforms.</w:t>
      </w:r>
    </w:p>
    <w:p>
      <w:pPr>
        <w:pStyle w:val="ListBullet"/>
        <w:spacing w:after="40"/>
      </w:pPr>
      <w:r>
        <w:t>Perturb positions, orientations, timing and local noise.</w:t>
      </w:r>
    </w:p>
    <w:p>
      <w:pPr>
        <w:pStyle w:val="ListBullet"/>
        <w:spacing w:after="40"/>
      </w:pPr>
      <w:r>
        <w:t>Measure survival, periods, displacement, fragments, outcome class and runtime.</w:t>
      </w:r>
    </w:p>
    <w:p>
      <w:pPr>
        <w:pStyle w:val="Heading1"/>
      </w:pPr>
      <w:r>
        <w:t>Stage 3 — Comparative baselines</w:t>
      </w:r>
    </w:p>
    <w:p>
      <w:pPr>
        <w:pStyle w:val="ListBullet"/>
        <w:spacing w:after="40"/>
      </w:pPr>
      <w:r>
        <w:t>Compare against relevant 3D cellular automata or artificial-life engines.</w:t>
      </w:r>
    </w:p>
    <w:p>
      <w:pPr>
        <w:pStyle w:val="ListBullet"/>
        <w:spacing w:after="40"/>
      </w:pPr>
      <w:r>
        <w:t>Define matched tasks rather than comparing unrelated feature lists.</w:t>
      </w:r>
    </w:p>
    <w:p>
      <w:pPr>
        <w:pStyle w:val="ListBullet"/>
        <w:spacing w:after="40"/>
      </w:pPr>
      <w:r>
        <w:t>Measure diversity, predictability, computational cost, searchability and composability.</w:t>
      </w:r>
    </w:p>
    <w:p>
      <w:pPr>
        <w:pStyle w:val="Heading1"/>
      </w:pPr>
      <w:r>
        <w:t>Stage 4 — Application proof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04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Track</w:t>
            </w:r>
          </w:p>
        </w:tc>
        <w:tc>
          <w:tcPr>
            <w:tcW w:type="dxa" w:w="7776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Decision-grade test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AI benchmark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Train baseline models on authorized DEE trajectories; measure predictive horizon, exact-state accuracy and out-of-distribution generalization.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Digital materials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Search for topologies that improve a fixed response metric over dense and porous baselines.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Unconventional computation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Compose outputs into inputs; test restoration, fan-out, crossings, reset, repeatability and a universal-gate candidate.</w:t>
            </w:r>
          </w:p>
        </w:tc>
      </w:tr>
    </w:tbl>
    <w:p>
      <w:pPr>
        <w:spacing w:after="0"/>
      </w:pPr>
    </w:p>
    <w:p>
      <w:pPr>
        <w:pStyle w:val="Heading1"/>
      </w:pPr>
      <w:r>
        <w:t>Stage 5 — Fundamental-physics hypothesis</w:t>
      </w:r>
    </w:p>
    <w:p>
      <w:r>
        <w:t>Only after computational replication should the evaluator examine whether coarse-grained limits, symmetries, conservation laws or measurable correspondences resemble known physics. Failure to reproduce quantum, relativistic or particle phenomena must be reported as failure, not reinterpreted after the fact.</w:t>
      </w:r>
    </w:p>
    <w:p>
      <w:pPr>
        <w:pStyle w:val="Heading1"/>
      </w:pPr>
      <w:r>
        <w:t>Required deliverables</w:t>
      </w:r>
    </w:p>
    <w:p>
      <w:pPr>
        <w:pStyle w:val="ListBullet"/>
        <w:spacing w:after="40"/>
      </w:pPr>
      <w:r>
        <w:t>Reproduction report with exact environment and hashes.</w:t>
      </w:r>
    </w:p>
    <w:p>
      <w:pPr>
        <w:pStyle w:val="ListBullet"/>
        <w:spacing w:after="40"/>
      </w:pPr>
      <w:r>
        <w:t>Failure and discrepancy log.</w:t>
      </w:r>
    </w:p>
    <w:p>
      <w:pPr>
        <w:pStyle w:val="ListBullet"/>
        <w:spacing w:after="40"/>
      </w:pPr>
      <w:r>
        <w:t>Robustness matrix.</w:t>
      </w:r>
    </w:p>
    <w:p>
      <w:pPr>
        <w:pStyle w:val="ListBullet"/>
        <w:spacing w:after="40"/>
      </w:pPr>
      <w:r>
        <w:t>Comparative benchmark report.</w:t>
      </w:r>
    </w:p>
    <w:p>
      <w:pPr>
        <w:pStyle w:val="ListBullet"/>
        <w:spacing w:after="40"/>
      </w:pPr>
      <w:r>
        <w:t>Recommendation: reject, revise, continue or expand.</w:t>
      </w:r>
    </w:p>
    <w:p>
      <w:pPr>
        <w:pStyle w:val="ListBullet"/>
        <w:spacing w:after="40"/>
      </w:pPr>
      <w:r>
        <w:t>Permission for the evaluator to publish negative findings.</w:t>
      </w:r>
    </w:p>
    <w:p>
      <w:pPr>
        <w:pStyle w:val="Heading1"/>
      </w:pPr>
      <w:r>
        <w:t>IP and access</w:t>
      </w:r>
    </w:p>
    <w:p>
      <w:r>
        <w:t>The evaluator receives sufficient black-box access to reproduce every claim in scope. Kernel source and derivation are not required for initial behavioral evaluation. A deeper source audit can be negotiated separately under stronger controls.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EBD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C96A18"/>
                <w:sz w:val="22"/>
              </w:rPr>
              <w:t>SUCCESS CONDITION</w:t>
            </w:r>
          </w:p>
          <w:p>
            <w:pPr>
              <w:spacing w:after="0" w:line="252" w:lineRule="auto"/>
            </w:pPr>
            <w:r>
              <w:t>Success is not a favorable conclusion. Success is a result that an independent team can reproduce, criticize and report without depending on the project author.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6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B72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