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7285"/>
          <w:sz w:val="20"/>
        </w:rPr>
        <w:t>DEE UNIVERSE v24</w:t>
      </w:r>
    </w:p>
    <w:p>
      <w:pPr>
        <w:pStyle w:val="Title"/>
        <w:jc w:val="left"/>
      </w:pPr>
      <w:r>
        <w:t>TECHNICAL EVIDENCE BRIEF</w:t>
      </w:r>
    </w:p>
    <w:p>
      <w:r>
        <w:rPr>
          <w:b/>
          <w:color w:val="123B5D"/>
          <w:sz w:val="26"/>
        </w:rPr>
        <w:t>Observed computational phenomena, claim boundaries and evaluation opportunities</w:t>
      </w:r>
    </w:p>
    <w:p>
      <w:pPr>
        <w:spacing w:before="240"/>
      </w:pPr>
    </w:p>
    <w:tbl>
      <w:tblPr>
        <w:tblW w:type="auto" w:w="0"/>
        <w:jc w:val="left"/>
        <w:tblLayout w:type="autofit"/>
        <w:tblLook w:firstColumn="1" w:firstRow="1" w:lastColumn="0" w:lastRow="0" w:noHBand="0" w:noVBand="1" w:val="04A0"/>
      </w:tblPr>
      <w:tblGrid>
        <w:gridCol w:w="4997"/>
        <w:gridCol w:w="4997"/>
      </w:tblGrid>
      <w:tr>
        <w:tc>
          <w:tcPr>
            <w:tcW w:type="dxa" w:w="4997"/>
            <w:shd w:fill="0B1F33"/>
            <w:vAlign w:val="center"/>
            <w:tcMar>
              <w:top w:w="100" w:type="dxa"/>
              <w:start w:w="120" w:type="dxa"/>
              <w:bottom w:w="100" w:type="dxa"/>
              <w:end w:w="120" w:type="dxa"/>
            </w:tcMar>
          </w:tcPr>
          <w:p>
            <w:pPr>
              <w:spacing w:after="0" w:line="252" w:lineRule="auto"/>
              <w:jc w:val="left"/>
            </w:pPr>
            <w:r/>
            <w:r>
              <w:rPr>
                <w:rFonts w:ascii="Aptos" w:hAnsi="Aptos"/>
                <w:b/>
                <w:color w:val="FFFFFF"/>
                <w:sz w:val="19"/>
              </w:rPr>
              <w:t>Audience</w:t>
            </w:r>
          </w:p>
        </w:tc>
        <w:tc>
          <w:tcPr>
            <w:tcW w:type="dxa" w:w="4997"/>
            <w:shd w:fill="0B1F33"/>
            <w:vAlign w:val="center"/>
            <w:tcMar>
              <w:top w:w="100" w:type="dxa"/>
              <w:start w:w="120" w:type="dxa"/>
              <w:bottom w:w="100" w:type="dxa"/>
              <w:end w:w="120" w:type="dxa"/>
            </w:tcMar>
          </w:tcPr>
          <w:p>
            <w:pPr>
              <w:spacing w:after="0" w:line="252" w:lineRule="auto"/>
              <w:jc w:val="left"/>
            </w:pPr>
            <w:r/>
            <w:r>
              <w:rPr>
                <w:rFonts w:ascii="Aptos" w:hAnsi="Aptos"/>
                <w:b/>
                <w:color w:val="FFFFFF"/>
                <w:sz w:val="19"/>
              </w:rPr>
              <w:t>Technical evaluators, corporate research teams and scientific reviewers</w:t>
            </w:r>
          </w:p>
        </w:tc>
      </w:tr>
      <w:tr>
        <w:tc>
          <w:tcPr>
            <w:tcW w:type="dxa" w:w="4997"/>
            <w:shd w:fill="EEF4F7"/>
            <w:vAlign w:val="center"/>
            <w:tcMar>
              <w:top w:w="100" w:type="dxa"/>
              <w:start w:w="120" w:type="dxa"/>
              <w:bottom w:w="100" w:type="dxa"/>
              <w:end w:w="120" w:type="dxa"/>
            </w:tcMar>
          </w:tcPr>
          <w:p>
            <w:pPr>
              <w:spacing w:after="0" w:line="252" w:lineRule="auto"/>
              <w:jc w:val="left"/>
            </w:pPr>
            <w:r/>
            <w:r>
              <w:rPr>
                <w:rFonts w:ascii="Aptos" w:hAnsi="Aptos"/>
                <w:b/>
                <w:color w:val="123B5D"/>
                <w:sz w:val="19"/>
              </w:rPr>
              <w:t>Edition</w:t>
            </w:r>
          </w:p>
        </w:tc>
        <w:tc>
          <w:tcPr>
            <w:tcW w:type="dxa" w:w="4997"/>
            <w:shd w:fill="EEF4F7"/>
            <w:vAlign w:val="center"/>
            <w:tcMar>
              <w:top w:w="100" w:type="dxa"/>
              <w:start w:w="120" w:type="dxa"/>
              <w:bottom w:w="100" w:type="dxa"/>
              <w:end w:w="120" w:type="dxa"/>
            </w:tcMar>
          </w:tcPr>
          <w:p>
            <w:pPr>
              <w:spacing w:after="0" w:line="252" w:lineRule="auto"/>
              <w:jc w:val="left"/>
            </w:pPr>
            <w:r/>
            <w:r>
              <w:rPr>
                <w:rFonts w:ascii="Aptos" w:hAnsi="Aptos"/>
                <w:b w:val="0"/>
                <w:color w:val="16212B"/>
                <w:sz w:val="19"/>
              </w:rPr>
              <w:t>23 July 2026</w:t>
            </w:r>
          </w:p>
        </w:tc>
      </w:tr>
    </w:tbl>
    <w:p>
      <w:r>
        <w:br w:type="page"/>
      </w:r>
    </w:p>
    <w:p>
      <w:pPr>
        <w:pStyle w:val="Heading1"/>
      </w:pPr>
      <w:r>
        <w:t>1. System under evaluation</w:t>
      </w:r>
    </w:p>
    <w:p>
      <w:r>
        <w:t>DEE Universe v24 is a compiled three-dimensional, toroidal, tick-based engine with local state, direction and memory. Public evaluation is performed through a Python-accessible black-box interface. The kernel implementation and its derivation remain proprietary.</w:t>
      </w:r>
    </w:p>
    <w:p>
      <w:pPr>
        <w:pStyle w:val="Heading1"/>
      </w:pPr>
      <w:r>
        <w:t>2. Selected demonstrated behaviors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true"/>
        </w:trPr>
        <w:tc>
          <w:tcPr>
            <w:tcW w:type="dxa" w:w="194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Capability</w:t>
            </w:r>
          </w:p>
        </w:tc>
        <w:tc>
          <w:tcPr>
            <w:tcW w:type="dxa" w:w="3240"/>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Evidence</w:t>
            </w:r>
          </w:p>
        </w:tc>
        <w:tc>
          <w:tcPr>
            <w:tcW w:type="dxa" w:w="2664"/>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What it enables</w:t>
            </w:r>
          </w:p>
        </w:tc>
        <w:tc>
          <w:tcPr>
            <w:tcW w:type="dxa" w:w="2448"/>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Does not establish</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Persistent structures</w:t>
            </w:r>
          </w:p>
        </w:tc>
        <w:tc>
          <w:tcPr>
            <w:tcW w:type="dxa" w:w="3240"/>
            <w:vAlign w:val="center"/>
            <w:tcMar>
              <w:top w:w="100" w:type="dxa"/>
              <w:start w:w="120" w:type="dxa"/>
              <w:bottom w:w="100" w:type="dxa"/>
              <w:end w:w="120" w:type="dxa"/>
            </w:tcMar>
          </w:tcPr>
          <w:p>
            <w:pPr>
              <w:spacing w:after="0" w:line="252" w:lineRule="auto"/>
              <w:jc w:val="left"/>
            </w:pPr>
            <w:r/>
            <w:r>
              <w:rPr>
                <w:rFonts w:ascii="Aptos" w:hAnsi="Aptos"/>
                <w:b w:val="0"/>
                <w:color w:val="16212B"/>
                <w:sz w:val="16"/>
              </w:rPr>
              <w:t>Dense structures retained occupancy over recorded finite horizons, including modular structures used in walls and channels.</w:t>
            </w:r>
          </w:p>
        </w:tc>
        <w:tc>
          <w:tcPr>
            <w:tcW w:type="dxa" w:w="266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Memory, modular geometry and robust digital structures.</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Not infinite stability or physical matter.</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Geometric state creation</w:t>
            </w:r>
          </w:p>
        </w:tc>
        <w:tc>
          <w:tcPr>
            <w:tcW w:type="dxa" w:w="3240"/>
            <w:vAlign w:val="center"/>
            <w:tcMar>
              <w:top w:w="100" w:type="dxa"/>
              <w:start w:w="120" w:type="dxa"/>
              <w:bottom w:w="100" w:type="dxa"/>
              <w:end w:w="120" w:type="dxa"/>
            </w:tcMar>
          </w:tcPr>
          <w:p>
            <w:pPr>
              <w:spacing w:after="0" w:line="252" w:lineRule="auto"/>
              <w:jc w:val="left"/>
            </w:pPr>
            <w:r/>
            <w:r>
              <w:rPr>
                <w:rFonts w:ascii="Aptos" w:hAnsi="Aptos"/>
                <w:b w:val="0"/>
                <w:color w:val="16212B"/>
                <w:sz w:val="16"/>
              </w:rPr>
              <w:t>A recorded polymer changed from 270 to 279 active positions; other tests also produced conditional new occupancy.</w:t>
            </w:r>
          </w:p>
        </w:tc>
        <w:tc>
          <w:tcPr>
            <w:tcW w:type="dxa" w:w="266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Spatial logic and state generation.</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Not physical creation of mass or energy.</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Directed propagation</w:t>
            </w:r>
          </w:p>
        </w:tc>
        <w:tc>
          <w:tcPr>
            <w:tcW w:type="dxa" w:w="3240"/>
            <w:vAlign w:val="center"/>
            <w:tcMar>
              <w:top w:w="100" w:type="dxa"/>
              <w:start w:w="120" w:type="dxa"/>
              <w:bottom w:w="100" w:type="dxa"/>
              <w:end w:w="120" w:type="dxa"/>
            </w:tcMar>
          </w:tcPr>
          <w:p>
            <w:pPr>
              <w:spacing w:after="0" w:line="252" w:lineRule="auto"/>
              <w:jc w:val="left"/>
            </w:pPr>
            <w:r/>
            <w:r>
              <w:rPr>
                <w:rFonts w:ascii="Aptos" w:hAnsi="Aptos"/>
                <w:b w:val="0"/>
                <w:color w:val="16212B"/>
                <w:sz w:val="16"/>
              </w:rPr>
              <w:t>A directed front moved 40 positions in 40 ticks in the recorded test.</w:t>
            </w:r>
          </w:p>
        </w:tc>
        <w:tc>
          <w:tcPr>
            <w:tcW w:type="dxa" w:w="266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Signals, channels and causal transport.</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Not a measured physical speed of light.</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Period-2 dynamics</w:t>
            </w:r>
          </w:p>
        </w:tc>
        <w:tc>
          <w:tcPr>
            <w:tcW w:type="dxa" w:w="3240"/>
            <w:vAlign w:val="center"/>
            <w:tcMar>
              <w:top w:w="100" w:type="dxa"/>
              <w:start w:w="120" w:type="dxa"/>
              <w:bottom w:w="100" w:type="dxa"/>
              <w:end w:w="120" w:type="dxa"/>
            </w:tcMar>
          </w:tcPr>
          <w:p>
            <w:pPr>
              <w:spacing w:after="0" w:line="252" w:lineRule="auto"/>
              <w:jc w:val="left"/>
            </w:pPr>
            <w:r/>
            <w:r>
              <w:rPr>
                <w:rFonts w:ascii="Aptos" w:hAnsi="Aptos"/>
                <w:b w:val="0"/>
                <w:color w:val="16212B"/>
                <w:sz w:val="16"/>
              </w:rPr>
              <w:t>Multiple structures alternated between two repeatable states during the observed horizon.</w:t>
            </w:r>
          </w:p>
        </w:tc>
        <w:tc>
          <w:tcPr>
            <w:tcW w:type="dxa" w:w="266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Clocks, synchronization and dynamic memory.</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Not perpetual physical motion.</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Reaction corpus</w:t>
            </w:r>
          </w:p>
        </w:tc>
        <w:tc>
          <w:tcPr>
            <w:tcW w:type="dxa" w:w="3240"/>
            <w:vAlign w:val="center"/>
            <w:tcMar>
              <w:top w:w="100" w:type="dxa"/>
              <w:start w:w="120" w:type="dxa"/>
              <w:bottom w:w="100" w:type="dxa"/>
              <w:end w:w="120" w:type="dxa"/>
            </w:tcMar>
          </w:tcPr>
          <w:p>
            <w:pPr>
              <w:spacing w:after="0" w:line="252" w:lineRule="auto"/>
              <w:jc w:val="left"/>
            </w:pPr>
            <w:r/>
            <w:r>
              <w:rPr>
                <w:rFonts w:ascii="Aptos" w:hAnsi="Aptos"/>
                <w:b w:val="0"/>
                <w:color w:val="16212B"/>
                <w:sz w:val="16"/>
              </w:rPr>
              <w:t>98 controlled interactions: 49 proximity and 49 kinetic.</w:t>
            </w:r>
          </w:p>
        </w:tc>
        <w:tc>
          <w:tcPr>
            <w:tcW w:type="dxa" w:w="266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Digital chemistry and collision-based computation.</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Not chemical equivalence to nature.</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Digital ballistics</w:t>
            </w:r>
          </w:p>
        </w:tc>
        <w:tc>
          <w:tcPr>
            <w:tcW w:type="dxa" w:w="3240"/>
            <w:vAlign w:val="center"/>
            <w:tcMar>
              <w:top w:w="100" w:type="dxa"/>
              <w:start w:w="120" w:type="dxa"/>
              <w:bottom w:w="100" w:type="dxa"/>
              <w:end w:w="120" w:type="dxa"/>
            </w:tcMar>
          </w:tcPr>
          <w:p>
            <w:pPr>
              <w:spacing w:after="0" w:line="252" w:lineRule="auto"/>
              <w:jc w:val="left"/>
            </w:pPr>
            <w:r/>
            <w:r>
              <w:rPr>
                <w:rFonts w:ascii="Aptos" w:hAnsi="Aptos"/>
                <w:b w:val="0"/>
                <w:color w:val="16212B"/>
                <w:sz w:val="16"/>
              </w:rPr>
              <w:t>12 experiments compared three moving objects across four barrier conditions.</w:t>
            </w:r>
          </w:p>
        </w:tc>
        <w:tc>
          <w:tcPr>
            <w:tcW w:type="dxa" w:w="266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Digital materials and perturbation response.</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Not physical armor performance.</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Mining and taxonomy</w:t>
            </w:r>
          </w:p>
        </w:tc>
        <w:tc>
          <w:tcPr>
            <w:tcW w:type="dxa" w:w="3240"/>
            <w:vAlign w:val="center"/>
            <w:tcMar>
              <w:top w:w="100" w:type="dxa"/>
              <w:start w:w="120" w:type="dxa"/>
              <w:bottom w:w="100" w:type="dxa"/>
              <w:end w:w="120" w:type="dxa"/>
            </w:tcMar>
          </w:tcPr>
          <w:p>
            <w:pPr>
              <w:spacing w:after="0" w:line="252" w:lineRule="auto"/>
              <w:jc w:val="left"/>
            </w:pPr>
            <w:r/>
            <w:r>
              <w:rPr>
                <w:rFonts w:ascii="Aptos" w:hAnsi="Aptos"/>
                <w:b w:val="0"/>
                <w:color w:val="16212B"/>
                <w:sz w:val="16"/>
              </w:rPr>
              <w:t>A black-box run identified nine recurrent small-component signatures and a persistent porous macrostructure.</w:t>
            </w:r>
          </w:p>
        </w:tc>
        <w:tc>
          <w:tcPr>
            <w:tcW w:type="dxa" w:w="266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Automated discovery, classification and dataset generation.</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Not a universal periodic table.</w:t>
            </w:r>
          </w:p>
        </w:tc>
      </w:tr>
      <w:tr>
        <w:trPr>
          <w:cantSplit w:val="true"/>
        </w:trPr>
        <w:tc>
          <w:tcPr>
            <w:tcW w:type="dxa" w:w="194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Long-horizon threshold event</w:t>
            </w:r>
          </w:p>
        </w:tc>
        <w:tc>
          <w:tcPr>
            <w:tcW w:type="dxa" w:w="3240"/>
            <w:vAlign w:val="center"/>
            <w:tcMar>
              <w:top w:w="100" w:type="dxa"/>
              <w:start w:w="120" w:type="dxa"/>
              <w:bottom w:w="100" w:type="dxa"/>
              <w:end w:w="120" w:type="dxa"/>
            </w:tcMar>
          </w:tcPr>
          <w:p>
            <w:pPr>
              <w:spacing w:after="0" w:line="252" w:lineRule="auto"/>
              <w:jc w:val="left"/>
            </w:pPr>
            <w:r/>
            <w:r>
              <w:rPr>
                <w:rFonts w:ascii="Aptos" w:hAnsi="Aptos"/>
                <w:b w:val="0"/>
                <w:color w:val="16212B"/>
                <w:sz w:val="16"/>
              </w:rPr>
              <w:t>A deep run extended to approximately 7.68 million ticks and recorded a new active position at the terminal event.</w:t>
            </w:r>
          </w:p>
        </w:tc>
        <w:tc>
          <w:tcPr>
            <w:tcW w:type="dxa" w:w="2664"/>
            <w:vAlign w:val="center"/>
            <w:tcMar>
              <w:top w:w="100" w:type="dxa"/>
              <w:start w:w="120" w:type="dxa"/>
              <w:bottom w:w="100" w:type="dxa"/>
              <w:end w:w="120" w:type="dxa"/>
            </w:tcMar>
          </w:tcPr>
          <w:p>
            <w:pPr>
              <w:spacing w:after="0" w:line="252" w:lineRule="auto"/>
              <w:jc w:val="left"/>
            </w:pPr>
            <w:r/>
            <w:r>
              <w:rPr>
                <w:rFonts w:ascii="Aptos" w:hAnsi="Aptos"/>
                <w:b w:val="0"/>
                <w:color w:val="16212B"/>
                <w:sz w:val="16"/>
              </w:rPr>
              <w:t>Accumulators, threshold systems and rare-event benchmarks.</w:t>
            </w:r>
          </w:p>
        </w:tc>
        <w:tc>
          <w:tcPr>
            <w:tcW w:type="dxa" w:w="2448"/>
            <w:vAlign w:val="center"/>
            <w:tcMar>
              <w:top w:w="100" w:type="dxa"/>
              <w:start w:w="120" w:type="dxa"/>
              <w:bottom w:w="100" w:type="dxa"/>
              <w:end w:w="120" w:type="dxa"/>
            </w:tcMar>
          </w:tcPr>
          <w:p>
            <w:pPr>
              <w:spacing w:after="0" w:line="252" w:lineRule="auto"/>
              <w:jc w:val="left"/>
            </w:pPr>
            <w:r/>
            <w:r>
              <w:rPr>
                <w:rFonts w:ascii="Aptos" w:hAnsi="Aptos"/>
                <w:b w:val="0"/>
                <w:color w:val="16212B"/>
                <w:sz w:val="16"/>
              </w:rPr>
              <w:t>Not measured physical energy extraction.</w:t>
            </w:r>
          </w:p>
        </w:tc>
      </w:tr>
    </w:tbl>
    <w:p>
      <w:pPr>
        <w:spacing w:after="0"/>
      </w:pPr>
    </w:p>
    <w:p>
      <w:pPr>
        <w:pStyle w:val="Heading1"/>
      </w:pPr>
      <w:r>
        <w:t>3. High-impact telemetry selection</w:t>
      </w:r>
    </w:p>
    <w:tbl>
      <w:tblPr>
        <w:tblW w:type="auto" w:w="0"/>
        <w:jc w:val="center"/>
        <w:tblLook w:firstColumn="1" w:firstRow="1" w:lastColumn="0" w:lastRow="0" w:noHBand="0" w:noVBand="1" w:val="04A0"/>
      </w:tblPr>
      <w:tblGrid>
        <w:gridCol w:w="1999"/>
        <w:gridCol w:w="1999"/>
        <w:gridCol w:w="1999"/>
        <w:gridCol w:w="1999"/>
        <w:gridCol w:w="1999"/>
      </w:tblGrid>
      <w:tr>
        <w:tc>
          <w:tcPr>
            <w:tcW w:type="dxa" w:w="1999"/>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98</w:t>
            </w:r>
          </w:p>
        </w:tc>
        <w:tc>
          <w:tcPr>
            <w:tcW w:type="dxa" w:w="1999"/>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12</w:t>
            </w:r>
          </w:p>
        </w:tc>
        <w:tc>
          <w:tcPr>
            <w:tcW w:type="dxa" w:w="1999"/>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9</w:t>
            </w:r>
          </w:p>
        </w:tc>
        <w:tc>
          <w:tcPr>
            <w:tcW w:type="dxa" w:w="1999"/>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22</w:t>
            </w:r>
          </w:p>
        </w:tc>
        <w:tc>
          <w:tcPr>
            <w:tcW w:type="dxa" w:w="1999"/>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30"/>
              </w:rPr>
              <w:t>7.68M</w:t>
            </w:r>
          </w:p>
        </w:tc>
      </w:tr>
      <w:tr>
        <w:tc>
          <w:tcPr>
            <w:tcW w:type="dxa" w:w="1999"/>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controlled interactions</w:t>
            </w:r>
          </w:p>
        </w:tc>
        <w:tc>
          <w:tcPr>
            <w:tcW w:type="dxa" w:w="1999"/>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digital-ballistics experiments</w:t>
            </w:r>
          </w:p>
        </w:tc>
        <w:tc>
          <w:tcPr>
            <w:tcW w:type="dxa" w:w="1999"/>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recurrent mined signatures</w:t>
            </w:r>
          </w:p>
        </w:tc>
        <w:tc>
          <w:tcPr>
            <w:tcW w:type="dxa" w:w="1999"/>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components in one primordial-soup run</w:t>
            </w:r>
          </w:p>
        </w:tc>
        <w:tc>
          <w:tcPr>
            <w:tcW w:type="dxa" w:w="1999"/>
            <w:shd w:fill="EEF4F7"/>
            <w:vAlign w:val="center"/>
            <w:tcMar>
              <w:top w:w="100" w:type="dxa"/>
              <w:start w:w="120" w:type="dxa"/>
              <w:bottom w:w="100" w:type="dxa"/>
              <w:end w:w="120" w:type="dxa"/>
            </w:tcMar>
          </w:tcPr>
          <w:p>
            <w:pPr>
              <w:spacing w:after="0" w:line="252" w:lineRule="auto"/>
              <w:jc w:val="center"/>
            </w:pPr>
            <w:r/>
            <w:r>
              <w:rPr>
                <w:rFonts w:ascii="Aptos" w:hAnsi="Aptos"/>
                <w:b/>
                <w:color w:val="123B5D"/>
                <w:sz w:val="17"/>
              </w:rPr>
              <w:t>ticks in a long-horizon test</w:t>
            </w:r>
          </w:p>
        </w:tc>
      </w:tr>
    </w:tbl>
    <w:p>
      <w:pPr>
        <w:spacing w:after="0"/>
      </w:pPr>
    </w:p>
    <w:tbl>
      <w:tblPr>
        <w:tblStyle w:val="TableGrid"/>
        <w:tblW w:type="auto" w:w="0"/>
        <w:jc w:val="center"/>
        <w:tblLook w:firstColumn="1" w:firstRow="1" w:lastColumn="0" w:lastRow="0" w:noHBand="0" w:noVBand="1" w:val="04A0"/>
      </w:tblPr>
      <w:tblGrid>
        <w:gridCol w:w="4997"/>
        <w:gridCol w:w="4997"/>
      </w:tblGrid>
      <w:tr>
        <w:trPr>
          <w:tblHeader w:val="true"/>
          <w:cantSplit w:val="true"/>
        </w:trPr>
        <w:tc>
          <w:tcPr>
            <w:tcW w:type="dxa" w:w="2592"/>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Experiment</w:t>
            </w:r>
          </w:p>
        </w:tc>
        <w:tc>
          <w:tcPr>
            <w:tcW w:type="dxa" w:w="7488"/>
            <w:shd w:fill="0B1F33"/>
            <w:vAlign w:val="center"/>
            <w:tcMar>
              <w:top w:w="100" w:type="dxa"/>
              <w:start w:w="120" w:type="dxa"/>
              <w:bottom w:w="100" w:type="dxa"/>
              <w:end w:w="120" w:type="dxa"/>
            </w:tcMar>
          </w:tcPr>
          <w:p>
            <w:pPr>
              <w:spacing w:after="0" w:line="252" w:lineRule="auto"/>
              <w:jc w:val="center"/>
            </w:pPr>
            <w:r/>
            <w:r>
              <w:rPr>
                <w:rFonts w:ascii="Aptos" w:hAnsi="Aptos"/>
                <w:b/>
                <w:color w:val="FFFFFF"/>
                <w:sz w:val="18"/>
              </w:rPr>
              <w:t>Public telemetry</w:t>
            </w:r>
          </w:p>
        </w:tc>
      </w:tr>
      <w:tr>
        <w:trPr>
          <w:cantSplit w:val="true"/>
        </w:trPr>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Geometric genesis</w:t>
            </w:r>
          </w:p>
        </w:tc>
        <w:tc>
          <w:tcPr>
            <w:tcW w:type="dxa" w:w="748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M_D: 270 → 279; net change +9; recorded horizon 100 ticks.</w:t>
            </w:r>
          </w:p>
        </w:tc>
      </w:tr>
      <w:tr>
        <w:trPr>
          <w:cantSplit w:val="true"/>
        </w:trPr>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Propagation</w:t>
            </w:r>
          </w:p>
        </w:tc>
        <w:tc>
          <w:tcPr>
            <w:tcW w:type="dxa" w:w="748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Position 5 → 45; displacement +40 over 40 ticks.</w:t>
            </w:r>
          </w:p>
        </w:tc>
      </w:tr>
      <w:tr>
        <w:trPr>
          <w:cantSplit w:val="true"/>
        </w:trPr>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Primordial soup</w:t>
            </w:r>
          </w:p>
        </w:tc>
        <w:tc>
          <w:tcPr>
            <w:tcW w:type="dxa" w:w="748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M_D: 1,078 → 391; 22 components in the reported run.</w:t>
            </w:r>
          </w:p>
        </w:tc>
      </w:tr>
      <w:tr>
        <w:trPr>
          <w:cantSplit w:val="true"/>
        </w:trPr>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Black-box porous structure</w:t>
            </w:r>
          </w:p>
        </w:tc>
        <w:tc>
          <w:tcPr>
            <w:tcW w:type="dxa" w:w="748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Bounding box 13,824; occupancy 6,488; density 46.93%; nine recurrent signatures.</w:t>
            </w:r>
          </w:p>
        </w:tc>
      </w:tr>
      <w:tr>
        <w:trPr>
          <w:cantSplit w:val="true"/>
        </w:trPr>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Topological sink</w:t>
            </w:r>
          </w:p>
        </w:tc>
        <w:tc>
          <w:tcPr>
            <w:tcW w:type="dxa" w:w="748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Incident residues 14 → 0; central structure 125 → 126.</w:t>
            </w:r>
          </w:p>
        </w:tc>
      </w:tr>
      <w:tr>
        <w:trPr>
          <w:cantSplit w:val="true"/>
        </w:trPr>
        <w:tc>
          <w:tcPr>
            <w:tcW w:type="dxa" w:w="2592"/>
            <w:vAlign w:val="center"/>
            <w:tcMar>
              <w:top w:w="100" w:type="dxa"/>
              <w:start w:w="120" w:type="dxa"/>
              <w:bottom w:w="100" w:type="dxa"/>
              <w:end w:w="120" w:type="dxa"/>
            </w:tcMar>
          </w:tcPr>
          <w:p>
            <w:pPr>
              <w:spacing w:after="0" w:line="252" w:lineRule="auto"/>
              <w:jc w:val="left"/>
            </w:pPr>
            <w:r/>
            <w:r>
              <w:rPr>
                <w:rFonts w:ascii="Aptos" w:hAnsi="Aptos"/>
                <w:b w:val="0"/>
                <w:color w:val="16212B"/>
                <w:sz w:val="17"/>
              </w:rPr>
              <w:t>Confinement / extrusion</w:t>
            </w:r>
          </w:p>
        </w:tc>
        <w:tc>
          <w:tcPr>
            <w:tcW w:type="dxa" w:w="7488"/>
            <w:vAlign w:val="center"/>
            <w:tcMar>
              <w:top w:w="100" w:type="dxa"/>
              <w:start w:w="120" w:type="dxa"/>
              <w:bottom w:w="100" w:type="dxa"/>
              <w:end w:w="120" w:type="dxa"/>
            </w:tcMar>
          </w:tcPr>
          <w:p>
            <w:pPr>
              <w:spacing w:after="0" w:line="252" w:lineRule="auto"/>
              <w:jc w:val="left"/>
            </w:pPr>
            <w:r/>
            <w:r>
              <w:rPr>
                <w:rFonts w:ascii="Aptos" w:hAnsi="Aptos"/>
                <w:b w:val="0"/>
                <w:color w:val="16212B"/>
                <w:sz w:val="17"/>
              </w:rPr>
              <w:t>Total occupancy 195 → 442; largest recorded structure 167 over 40 ticks.</w:t>
            </w:r>
          </w:p>
        </w:tc>
      </w:tr>
    </w:tbl>
    <w:p>
      <w:pPr>
        <w:spacing w:after="0"/>
      </w:pPr>
    </w:p>
    <w:p>
      <w:pPr>
        <w:pStyle w:val="Heading1"/>
      </w:pPr>
      <w:r>
        <w:t>4. Negative results and corrections</w:t>
      </w:r>
    </w:p>
    <w:p>
      <w:pPr>
        <w:pStyle w:val="ListBullet"/>
        <w:spacing w:after="40"/>
      </w:pPr>
      <w:r>
        <w:t>A proposed prime-number discrimination effect was not supported; the result was retained as a negative finding.</w:t>
      </w:r>
    </w:p>
    <w:p>
      <w:pPr>
        <w:pStyle w:val="ListBullet"/>
        <w:spacing w:after="40"/>
      </w:pPr>
      <w:r>
        <w:t>Finite logs do not prove eternal or infinite stability.</w:t>
      </w:r>
    </w:p>
    <w:p>
      <w:pPr>
        <w:pStyle w:val="ListBullet"/>
        <w:spacing w:after="40"/>
      </w:pPr>
      <w:r>
        <w:t>Occupancy entropy is an informational metric and not physical thermodynamic entropy.</w:t>
      </w:r>
    </w:p>
    <w:p>
      <w:pPr>
        <w:pStyle w:val="ListBullet"/>
        <w:spacing w:after="40"/>
      </w:pPr>
      <w:r>
        <w:t>The porous structure mined from the primordial soup and the later ballistic aerogel are related concepts but not the same exact object.</w:t>
      </w:r>
    </w:p>
    <w:p>
      <w:pPr>
        <w:pStyle w:val="ListBullet"/>
        <w:spacing w:after="40"/>
      </w:pPr>
      <w:r>
        <w:t>No claim of quantum mechanics, relativity, physical energy extraction, Standard Model equivalence or Turing completeness is made.</w:t>
      </w:r>
    </w:p>
    <w:p>
      <w:pPr>
        <w:pStyle w:val="Heading1"/>
      </w:pPr>
      <w:r>
        <w:t>5. Reproducibility boundary</w:t>
      </w:r>
    </w:p>
    <w:p>
      <w:pPr>
        <w:pStyle w:val="ListBullet"/>
        <w:spacing w:after="40"/>
      </w:pPr>
      <w:r>
        <w:t>Available under controlled evaluation: signed wheel, Python API, selected scripts, hashes, installation protocol and agreed telemetry.</w:t>
      </w:r>
    </w:p>
    <w:p>
      <w:pPr>
        <w:pStyle w:val="ListBullet"/>
        <w:spacing w:after="40"/>
      </w:pPr>
      <w:r>
        <w:t>Protected: kernel source, exact derivation, internal constants, transition rules, exhaustive tensors and reconstruction procedures.</w:t>
      </w:r>
    </w:p>
    <w:p>
      <w:pPr>
        <w:pStyle w:val="ListBullet"/>
        <w:spacing w:after="40"/>
      </w:pPr>
      <w:r>
        <w:t>Every public claim offered for evaluation must be reproducible through the provided black-box interface.</w:t>
      </w:r>
    </w:p>
    <w:p>
      <w:pPr>
        <w:pStyle w:val="Heading1"/>
      </w:pPr>
      <w:r>
        <w:t>6. Research opportunities</w:t>
      </w:r>
    </w:p>
    <w:p>
      <w:pPr>
        <w:pStyle w:val="Heading2"/>
      </w:pPr>
      <w:r>
        <w:t>Complex systems and artificial life</w:t>
      </w:r>
    </w:p>
    <w:p>
      <w:r>
        <w:t>Study emergence, attractors, oscillatory regimes, reaction systems, open-ended search and the relation between local rules and macroscopic organization.</w:t>
      </w:r>
    </w:p>
    <w:p>
      <w:pPr>
        <w:pStyle w:val="Heading2"/>
      </w:pPr>
      <w:r>
        <w:t>AI and world models</w:t>
      </w:r>
    </w:p>
    <w:p>
      <w:r>
        <w:t>Use deterministic 3D trajectories for next-state prediction, long-horizon rollout, hidden-rule inference, anomaly detection, active experiment selection and out-of-distribution generalization.</w:t>
      </w:r>
    </w:p>
    <w:p>
      <w:pPr>
        <w:pStyle w:val="Heading2"/>
      </w:pPr>
      <w:r>
        <w:t>Digital materials</w:t>
      </w:r>
    </w:p>
    <w:p>
      <w:r>
        <w:t>Search topologies for persistence, material efficiency, fragmentation profile, response class or post-impact activity.</w:t>
      </w:r>
    </w:p>
    <w:p>
      <w:pPr>
        <w:pStyle w:val="Heading2"/>
      </w:pPr>
      <w:r>
        <w:t>Unconventional computation</w:t>
      </w:r>
    </w:p>
    <w:p>
      <w:r>
        <w:t>Test whether observed candidates for memory, signals, clocks, channels, selective annihilation and geometric state creation can be composed into reliable circuits.</w:t>
      </w:r>
    </w:p>
    <w:p>
      <w:pPr>
        <w:pStyle w:val="Heading1"/>
      </w:pPr>
      <w:r>
        <w:t>7. Evaluation request</w:t>
      </w:r>
    </w:p>
    <w:tbl>
      <w:tblPr>
        <w:tblW w:type="auto" w:w="0"/>
        <w:jc w:val="left"/>
        <w:tblLook w:firstColumn="1" w:firstRow="1" w:lastColumn="0" w:lastRow="0" w:noHBand="0" w:noVBand="1" w:val="04A0"/>
      </w:tblPr>
      <w:tblGrid>
        <w:gridCol w:w="9994"/>
      </w:tblGrid>
      <w:tr>
        <w:tc>
          <w:tcPr>
            <w:tcW w:type="dxa" w:w="9994"/>
            <w:shd w:fill="F8EBDD"/>
            <w:tcMar>
              <w:top w:w="160" w:type="dxa"/>
              <w:start w:w="180" w:type="dxa"/>
              <w:bottom w:w="160" w:type="dxa"/>
              <w:end w:w="180" w:type="dxa"/>
            </w:tcMar>
          </w:tcPr>
          <w:p>
            <w:pPr>
              <w:spacing w:after="80"/>
            </w:pPr>
            <w:r/>
            <w:r>
              <w:rPr>
                <w:b/>
                <w:color w:val="C96A18"/>
                <w:sz w:val="22"/>
              </w:rPr>
              <w:t>A BOUNDED REQUEST</w:t>
            </w:r>
          </w:p>
          <w:p>
            <w:pPr>
              <w:spacing w:after="0" w:line="252" w:lineRule="auto"/>
            </w:pPr>
            <w:r>
              <w:t>Reproduce a selected suite, test determinism across environments, perturb initial conditions, compare against relevant baselines, document failure modes and state which claims survive. The deeper physics hypothesis should be considered only after the computational system survives independent replication.</w:t>
            </w:r>
          </w:p>
        </w:tc>
      </w:tr>
    </w:tbl>
    <w:p>
      <w:pPr>
        <w:spacing w:after="0"/>
      </w:pP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6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B728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3B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