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7285"/>
          <w:sz w:val="20"/>
        </w:rPr>
        <w:t>DEE UNIVERSE v24</w:t>
      </w:r>
    </w:p>
    <w:p>
      <w:pPr>
        <w:pStyle w:val="Title"/>
        <w:jc w:val="left"/>
      </w:pPr>
      <w:r>
        <w:t>PROTOCOLO DE EVALUACIÓN INDEPENDIENTE</w:t>
      </w:r>
    </w:p>
    <w:p>
      <w:r>
        <w:rPr>
          <w:b/>
          <w:color w:val="123B5D"/>
          <w:sz w:val="26"/>
        </w:rPr>
        <w:t>Programa por etapas, orientado a falsación, que protege la propiedad intelectual y expone las afirmaciones al escrutinio</w:t>
      </w:r>
    </w:p>
    <w:p>
      <w:pPr>
        <w:spacing w:before="2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Destinatario</w:t>
            </w:r>
          </w:p>
        </w:tc>
        <w:tc>
          <w:tcPr>
            <w:tcW w:type="dxa" w:w="4997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Laboratorios, institutos, revisores y evaluadores financiados</w:t>
            </w:r>
          </w:p>
        </w:tc>
      </w:tr>
      <w:tr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color w:val="123B5D"/>
                <w:sz w:val="19"/>
              </w:rPr>
              <w:t>Edición</w:t>
            </w:r>
          </w:p>
        </w:tc>
        <w:tc>
          <w:tcPr>
            <w:tcW w:type="dxa" w:w="4997"/>
            <w:shd w:fill="EE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9"/>
              </w:rPr>
              <w:t>23 de julio de 2026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F3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0B7285"/>
                <w:sz w:val="22"/>
              </w:rPr>
              <w:t>PRINCIPIO CENTRAL</w:t>
            </w:r>
          </w:p>
          <w:p>
            <w:pPr>
              <w:spacing w:after="0" w:line="252" w:lineRule="auto"/>
            </w:pPr>
            <w:r>
              <w:t>No se pide al evaluador validar una visión del mundo. Se le pide reproducir un corpus computacional acotado, atacarlo, compararlo y publicar dónde funciona y dónde falla.</w:t>
            </w:r>
          </w:p>
        </w:tc>
      </w:tr>
    </w:tbl>
    <w:p>
      <w:pPr>
        <w:spacing w:after="0"/>
      </w:pPr>
    </w:p>
    <w:p>
      <w:pPr>
        <w:pStyle w:val="Heading1"/>
      </w:pPr>
      <w:r>
        <w:t>Etapa 0 — Cadena de custodia</w:t>
      </w:r>
    </w:p>
    <w:p>
      <w:pPr>
        <w:pStyle w:val="ListBullet"/>
        <w:spacing w:after="40"/>
      </w:pPr>
      <w:r>
        <w:t>Registrar hash del wheel, versión, sistema operativo, hardware y entorno Python.</w:t>
      </w:r>
    </w:p>
    <w:p>
      <w:pPr>
        <w:pStyle w:val="ListBullet"/>
        <w:spacing w:after="40"/>
      </w:pPr>
      <w:r>
        <w:t>Verificar que los scripts se ejecuten sin modificación.</w:t>
      </w:r>
    </w:p>
    <w:p>
      <w:pPr>
        <w:pStyle w:val="ListBullet"/>
        <w:spacing w:after="40"/>
      </w:pPr>
      <w:r>
        <w:t>Conservar stdout, logs y hashes de salida.</w:t>
      </w:r>
    </w:p>
    <w:p>
      <w:pPr>
        <w:pStyle w:val="Heading1"/>
      </w:pPr>
      <w:r>
        <w:t>Etapa 1 — Réplica acotada</w:t>
      </w:r>
    </w:p>
    <w:p>
      <w:pPr>
        <w:pStyle w:val="ListBullet"/>
        <w:spacing w:after="40"/>
      </w:pPr>
      <w:r>
        <w:t>Suite de geometría persistente.</w:t>
      </w:r>
    </w:p>
    <w:p>
      <w:pPr>
        <w:pStyle w:val="ListBullet"/>
        <w:spacing w:after="40"/>
      </w:pPr>
      <w:r>
        <w:t>Resultado de génesis geométrica.</w:t>
      </w:r>
    </w:p>
    <w:p>
      <w:pPr>
        <w:pStyle w:val="ListBullet"/>
        <w:spacing w:after="40"/>
      </w:pPr>
      <w:r>
        <w:t>Resultado de propagación dirigida.</w:t>
      </w:r>
    </w:p>
    <w:p>
      <w:pPr>
        <w:pStyle w:val="ListBullet"/>
        <w:spacing w:after="40"/>
      </w:pPr>
      <w:r>
        <w:t>Un régimen de periodo 2.</w:t>
      </w:r>
    </w:p>
    <w:p>
      <w:pPr>
        <w:pStyle w:val="ListBullet"/>
        <w:spacing w:after="40"/>
      </w:pPr>
      <w:r>
        <w:t>Un subconjunto de interacciones de proximidad y cinéticas.</w:t>
      </w:r>
    </w:p>
    <w:p>
      <w:pPr>
        <w:pStyle w:val="ListBullet"/>
        <w:spacing w:after="40"/>
      </w:pPr>
      <w:r>
        <w:t>Una comparación entre barrera densa y porosa.</w:t>
      </w:r>
    </w:p>
    <w:p>
      <w:pPr>
        <w:pStyle w:val="ListBullet"/>
        <w:spacing w:after="40"/>
      </w:pPr>
      <w:r>
        <w:t>Un resultado de minería automática.</w:t>
      </w:r>
    </w:p>
    <w:p>
      <w:pPr>
        <w:pStyle w:val="Heading1"/>
      </w:pPr>
      <w:r>
        <w:t>Etapa 2 — Determinismo y robustez</w:t>
      </w:r>
    </w:p>
    <w:p>
      <w:pPr>
        <w:pStyle w:val="ListBullet"/>
        <w:spacing w:after="40"/>
      </w:pPr>
      <w:r>
        <w:t>Repetir semillas e inputs idénticos.</w:t>
      </w:r>
    </w:p>
    <w:p>
      <w:pPr>
        <w:pStyle w:val="ListBullet"/>
        <w:spacing w:after="40"/>
      </w:pPr>
      <w:r>
        <w:t>Comparar cantidades de hilos y plataformas compatibles.</w:t>
      </w:r>
    </w:p>
    <w:p>
      <w:pPr>
        <w:pStyle w:val="ListBullet"/>
        <w:spacing w:after="40"/>
      </w:pPr>
      <w:r>
        <w:t>Perturbar posiciones, orientaciones, tiempos y ruido local.</w:t>
      </w:r>
    </w:p>
    <w:p>
      <w:pPr>
        <w:pStyle w:val="ListBullet"/>
        <w:spacing w:after="40"/>
      </w:pPr>
      <w:r>
        <w:t>Medir supervivencia, periodos, desplazamiento, fragmentos, clase de resultado y tiempo de ejecución.</w:t>
      </w:r>
    </w:p>
    <w:p>
      <w:pPr>
        <w:pStyle w:val="Heading1"/>
      </w:pPr>
      <w:r>
        <w:t>Etapa 3 — Referencias comparativas</w:t>
      </w:r>
    </w:p>
    <w:p>
      <w:pPr>
        <w:pStyle w:val="ListBullet"/>
        <w:spacing w:after="40"/>
      </w:pPr>
      <w:r>
        <w:t>Comparar contra autómatas celulares 3D o motores de vida artificial pertinentes.</w:t>
      </w:r>
    </w:p>
    <w:p>
      <w:pPr>
        <w:pStyle w:val="ListBullet"/>
        <w:spacing w:after="40"/>
      </w:pPr>
      <w:r>
        <w:t>Definir tareas equivalentes, no listas de funciones inconexas.</w:t>
      </w:r>
    </w:p>
    <w:p>
      <w:pPr>
        <w:pStyle w:val="ListBullet"/>
        <w:spacing w:after="40"/>
      </w:pPr>
      <w:r>
        <w:t>Medir diversidad, predictibilidad, costo computacional, capacidad de búsqueda y composición.</w:t>
      </w:r>
    </w:p>
    <w:p>
      <w:pPr>
        <w:pStyle w:val="Heading1"/>
      </w:pPr>
      <w:r>
        <w:t>Etapa 4 — Prueba de aplicación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30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7776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Prueba decisiva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Benchmark de IA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Entrenar modelos base con trayectorias autorizadas de DEE; medir horizonte predictivo, exactitud de estado y generalización fuera de distribución.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Materiales digitales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Buscar topologías que mejoren una métrica fija frente a referencias densas y porosas.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Computación no convencional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6212B"/>
                <w:sz w:val="17"/>
              </w:rPr>
              <w:t>Componer salidas como entradas; probar restauración, fan-out, cruces, reset, repetibilidad y una puerta universal candidata.</w:t>
            </w:r>
          </w:p>
        </w:tc>
      </w:tr>
    </w:tbl>
    <w:p>
      <w:pPr>
        <w:spacing w:after="0"/>
      </w:pPr>
    </w:p>
    <w:p>
      <w:pPr>
        <w:pStyle w:val="Heading1"/>
      </w:pPr>
      <w:r>
        <w:t>Etapa 5 — Hipótesis de física fundamental</w:t>
      </w:r>
    </w:p>
    <w:p>
      <w:r>
        <w:t>Solo después de la réplica computacional debe evaluarse si límites macroscópicos, simetrías, leyes de conservación o correspondencias medibles se parecen a la física conocida. La incapacidad de reproducir fenómenos cuánticos, relativistas o de partículas debe informarse como fallo, no reinterpretarse posteriormente.</w:t>
      </w:r>
    </w:p>
    <w:p>
      <w:pPr>
        <w:pStyle w:val="Heading1"/>
      </w:pPr>
      <w:r>
        <w:t>Entregables requeridos</w:t>
      </w:r>
    </w:p>
    <w:p>
      <w:pPr>
        <w:pStyle w:val="ListBullet"/>
        <w:spacing w:after="40"/>
      </w:pPr>
      <w:r>
        <w:t>Reporte de reproducción con entorno y hashes exactos.</w:t>
      </w:r>
    </w:p>
    <w:p>
      <w:pPr>
        <w:pStyle w:val="ListBullet"/>
        <w:spacing w:after="40"/>
      </w:pPr>
      <w:r>
        <w:t>Registro de fallos y discrepancias.</w:t>
      </w:r>
    </w:p>
    <w:p>
      <w:pPr>
        <w:pStyle w:val="ListBullet"/>
        <w:spacing w:after="40"/>
      </w:pPr>
      <w:r>
        <w:t>Matriz de robustez.</w:t>
      </w:r>
    </w:p>
    <w:p>
      <w:pPr>
        <w:pStyle w:val="ListBullet"/>
        <w:spacing w:after="40"/>
      </w:pPr>
      <w:r>
        <w:t>Reporte comparativo.</w:t>
      </w:r>
    </w:p>
    <w:p>
      <w:pPr>
        <w:pStyle w:val="ListBullet"/>
        <w:spacing w:after="40"/>
      </w:pPr>
      <w:r>
        <w:t>Recomendación: rechazar, revisar, continuar o ampliar.</w:t>
      </w:r>
    </w:p>
    <w:p>
      <w:pPr>
        <w:pStyle w:val="ListBullet"/>
        <w:spacing w:after="40"/>
      </w:pPr>
      <w:r>
        <w:t>Libertad del evaluador para publicar resultados negativos.</w:t>
      </w:r>
    </w:p>
    <w:p>
      <w:pPr>
        <w:pStyle w:val="Heading1"/>
      </w:pPr>
      <w:r>
        <w:t>Propiedad intelectual y acceso</w:t>
      </w:r>
    </w:p>
    <w:p>
      <w:r>
        <w:t>El evaluador recibe acceso de caja negra suficiente para reproducir cada afirmación incluida. El código fuente y la derivación no son necesarios para la evaluación conductual inicial. Una auditoría de fuente más profunda puede negociarse con controles adicionales.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8EBD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b/>
                <w:color w:val="C96A18"/>
                <w:sz w:val="22"/>
              </w:rPr>
              <w:t>CONDICIÓN DE ÉXITO</w:t>
            </w:r>
          </w:p>
          <w:p>
            <w:pPr>
              <w:spacing w:after="0" w:line="252" w:lineRule="auto"/>
            </w:pPr>
            <w:r>
              <w:t>El éxito no es una conclusión favorable. Es un resultado que un equipo independiente puede reproducir, criticar y reportar sin depender del autor del proyecto.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6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B72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