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7285"/>
          <w:sz w:val="18"/>
        </w:rPr>
        <w:t>DEE UNIVERSE v24</w:t>
      </w:r>
    </w:p>
    <w:p>
      <w:pPr>
        <w:pStyle w:val="Title"/>
      </w:pPr>
      <w:r>
        <w:t>RESUMEN EJECUTIVO DE UNA PÁGINA</w:t>
      </w:r>
    </w:p>
    <w:p>
      <w:r>
        <w:rPr>
          <w:b/>
          <w:color w:val="123B5D"/>
          <w:sz w:val="23"/>
        </w:rPr>
        <w:t>Una dinámica protegida. Fenómenos 3D reproducibles. Una hipótesis diseñada para ser puesta a prueba.</w:t>
      </w:r>
    </w:p>
    <w:tbl>
      <w:tblPr>
        <w:tblW w:type="auto" w:w="0"/>
        <w:jc w:val="left"/>
        <w:tblLook w:firstColumn="1" w:firstRow="1" w:lastColumn="0" w:lastRow="0" w:noHBand="0" w:noVBand="1" w:val="04A0"/>
      </w:tblPr>
      <w:tblGrid>
        <w:gridCol w:w="10570"/>
      </w:tblGrid>
      <w:tr>
        <w:tc>
          <w:tcPr>
            <w:tcW w:type="dxa" w:w="10570"/>
            <w:shd w:fill="D9F3F6"/>
            <w:tcMar>
              <w:top w:w="160" w:type="dxa"/>
              <w:start w:w="180" w:type="dxa"/>
              <w:bottom w:w="160" w:type="dxa"/>
              <w:end w:w="180" w:type="dxa"/>
            </w:tcMar>
          </w:tcPr>
          <w:p>
            <w:pPr>
              <w:spacing w:after="80"/>
            </w:pPr>
            <w:r/>
            <w:r>
              <w:rPr>
                <w:b/>
                <w:color w:val="0B7285"/>
                <w:sz w:val="22"/>
              </w:rPr>
              <w:t>LA PROPUESTA</w:t>
            </w:r>
          </w:p>
          <w:p>
            <w:pPr>
              <w:spacing w:after="0" w:line="252" w:lineRule="auto"/>
            </w:pPr>
            <w:r>
              <w:t>DEE Universe v24 es un motor tridimensional determinista y compilado en el que una única estructura generadora protegida produce múltiples clases de comportamiento bajo la misma dinámica local. Los fenómenos computacionales ya existen. La interpretación física más profunda permanece como hipótesis abierta.</w:t>
            </w:r>
          </w:p>
        </w:tc>
      </w:tr>
    </w:tbl>
    <w:p>
      <w:pPr>
        <w:spacing w:after="0"/>
      </w:pPr>
    </w:p>
    <w:tbl>
      <w:tblPr>
        <w:tblW w:type="auto" w:w="0"/>
        <w:jc w:val="center"/>
        <w:tblLook w:firstColumn="1" w:firstRow="1" w:lastColumn="0" w:lastRow="0" w:noHBand="0" w:noVBand="1" w:val="04A0"/>
      </w:tblPr>
      <w:tblGrid>
        <w:gridCol w:w="2114"/>
        <w:gridCol w:w="2114"/>
        <w:gridCol w:w="2114"/>
        <w:gridCol w:w="2114"/>
        <w:gridCol w:w="2114"/>
      </w:tblGrid>
      <w:tr>
        <w:tc>
          <w:tcPr>
            <w:tcW w:type="dxa" w:w="2114"/>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30"/>
              </w:rPr>
              <w:t>98</w:t>
            </w:r>
          </w:p>
        </w:tc>
        <w:tc>
          <w:tcPr>
            <w:tcW w:type="dxa" w:w="2114"/>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30"/>
              </w:rPr>
              <w:t>12</w:t>
            </w:r>
          </w:p>
        </w:tc>
        <w:tc>
          <w:tcPr>
            <w:tcW w:type="dxa" w:w="2114"/>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30"/>
              </w:rPr>
              <w:t>9</w:t>
            </w:r>
          </w:p>
        </w:tc>
        <w:tc>
          <w:tcPr>
            <w:tcW w:type="dxa" w:w="2114"/>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30"/>
              </w:rPr>
              <w:t>22</w:t>
            </w:r>
          </w:p>
        </w:tc>
        <w:tc>
          <w:tcPr>
            <w:tcW w:type="dxa" w:w="2114"/>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30"/>
              </w:rPr>
              <w:t>7.68 M</w:t>
            </w:r>
          </w:p>
        </w:tc>
      </w:tr>
      <w:tr>
        <w:tc>
          <w:tcPr>
            <w:tcW w:type="dxa" w:w="2114"/>
            <w:shd w:fill="EEF4F7"/>
            <w:vAlign w:val="center"/>
            <w:tcMar>
              <w:top w:w="100" w:type="dxa"/>
              <w:start w:w="120" w:type="dxa"/>
              <w:bottom w:w="100" w:type="dxa"/>
              <w:end w:w="120" w:type="dxa"/>
            </w:tcMar>
          </w:tcPr>
          <w:p>
            <w:pPr>
              <w:spacing w:after="0" w:line="252" w:lineRule="auto"/>
              <w:jc w:val="center"/>
            </w:pPr>
            <w:r/>
            <w:r>
              <w:rPr>
                <w:rFonts w:ascii="Aptos" w:hAnsi="Aptos"/>
                <w:b/>
                <w:color w:val="123B5D"/>
                <w:sz w:val="17"/>
              </w:rPr>
              <w:t>interacciones controladas</w:t>
            </w:r>
          </w:p>
        </w:tc>
        <w:tc>
          <w:tcPr>
            <w:tcW w:type="dxa" w:w="2114"/>
            <w:shd w:fill="EEF4F7"/>
            <w:vAlign w:val="center"/>
            <w:tcMar>
              <w:top w:w="100" w:type="dxa"/>
              <w:start w:w="120" w:type="dxa"/>
              <w:bottom w:w="100" w:type="dxa"/>
              <w:end w:w="120" w:type="dxa"/>
            </w:tcMar>
          </w:tcPr>
          <w:p>
            <w:pPr>
              <w:spacing w:after="0" w:line="252" w:lineRule="auto"/>
              <w:jc w:val="center"/>
            </w:pPr>
            <w:r/>
            <w:r>
              <w:rPr>
                <w:rFonts w:ascii="Aptos" w:hAnsi="Aptos"/>
                <w:b/>
                <w:color w:val="123B5D"/>
                <w:sz w:val="17"/>
              </w:rPr>
              <w:t>ensayos balísticos digitales</w:t>
            </w:r>
          </w:p>
        </w:tc>
        <w:tc>
          <w:tcPr>
            <w:tcW w:type="dxa" w:w="2114"/>
            <w:shd w:fill="EEF4F7"/>
            <w:vAlign w:val="center"/>
            <w:tcMar>
              <w:top w:w="100" w:type="dxa"/>
              <w:start w:w="120" w:type="dxa"/>
              <w:bottom w:w="100" w:type="dxa"/>
              <w:end w:w="120" w:type="dxa"/>
            </w:tcMar>
          </w:tcPr>
          <w:p>
            <w:pPr>
              <w:spacing w:after="0" w:line="252" w:lineRule="auto"/>
              <w:jc w:val="center"/>
            </w:pPr>
            <w:r/>
            <w:r>
              <w:rPr>
                <w:rFonts w:ascii="Aptos" w:hAnsi="Aptos"/>
                <w:b/>
                <w:color w:val="123B5D"/>
                <w:sz w:val="17"/>
              </w:rPr>
              <w:t>firmas recurrentes minadas</w:t>
            </w:r>
          </w:p>
        </w:tc>
        <w:tc>
          <w:tcPr>
            <w:tcW w:type="dxa" w:w="2114"/>
            <w:shd w:fill="EEF4F7"/>
            <w:vAlign w:val="center"/>
            <w:tcMar>
              <w:top w:w="100" w:type="dxa"/>
              <w:start w:w="120" w:type="dxa"/>
              <w:bottom w:w="100" w:type="dxa"/>
              <w:end w:w="120" w:type="dxa"/>
            </w:tcMar>
          </w:tcPr>
          <w:p>
            <w:pPr>
              <w:spacing w:after="0" w:line="252" w:lineRule="auto"/>
              <w:jc w:val="center"/>
            </w:pPr>
            <w:r/>
            <w:r>
              <w:rPr>
                <w:rFonts w:ascii="Aptos" w:hAnsi="Aptos"/>
                <w:b/>
                <w:color w:val="123B5D"/>
                <w:sz w:val="17"/>
              </w:rPr>
              <w:t>componentes en una sopa primordial</w:t>
            </w:r>
          </w:p>
        </w:tc>
        <w:tc>
          <w:tcPr>
            <w:tcW w:type="dxa" w:w="2114"/>
            <w:shd w:fill="EEF4F7"/>
            <w:vAlign w:val="center"/>
            <w:tcMar>
              <w:top w:w="100" w:type="dxa"/>
              <w:start w:w="120" w:type="dxa"/>
              <w:bottom w:w="100" w:type="dxa"/>
              <w:end w:w="120" w:type="dxa"/>
            </w:tcMar>
          </w:tcPr>
          <w:p>
            <w:pPr>
              <w:spacing w:after="0" w:line="252" w:lineRule="auto"/>
              <w:jc w:val="center"/>
            </w:pPr>
            <w:r/>
            <w:r>
              <w:rPr>
                <w:rFonts w:ascii="Aptos" w:hAnsi="Aptos"/>
                <w:b/>
                <w:color w:val="123B5D"/>
                <w:sz w:val="17"/>
              </w:rPr>
              <w:t>ticks en una prueba prolongada</w:t>
            </w:r>
          </w:p>
        </w:tc>
      </w:tr>
    </w:tbl>
    <w:p>
      <w:pPr>
        <w:spacing w:after="0"/>
      </w:pPr>
    </w:p>
    <w:tbl>
      <w:tblPr>
        <w:tblStyle w:val="TableGrid"/>
        <w:tblW w:type="auto" w:w="0"/>
        <w:jc w:val="center"/>
        <w:tblLook w:firstColumn="1" w:firstRow="1" w:lastColumn="0" w:lastRow="0" w:noHBand="0" w:noVBand="1" w:val="04A0"/>
      </w:tblPr>
      <w:tblGrid>
        <w:gridCol w:w="5285"/>
        <w:gridCol w:w="5285"/>
      </w:tblGrid>
      <w:tr>
        <w:tc>
          <w:tcPr>
            <w:tcW w:type="dxa" w:w="5285"/>
            <w:shd w:fill="EEF4F7"/>
            <w:tcMar>
              <w:top w:w="130" w:type="dxa"/>
              <w:start w:w="150" w:type="dxa"/>
              <w:bottom w:w="130" w:type="dxa"/>
              <w:end w:w="150" w:type="dxa"/>
            </w:tcMar>
          </w:tcPr>
          <w:p>
            <w:r/>
            <w:r>
              <w:rPr>
                <w:b/>
                <w:color w:val="0B7285"/>
                <w:sz w:val="21"/>
              </w:rPr>
              <w:t>LO QUE YA EXISTE</w:t>
            </w:r>
          </w:p>
          <w:p>
            <w:pPr>
              <w:pStyle w:val="ListBullet"/>
              <w:spacing w:after="0" w:line="240" w:lineRule="auto"/>
            </w:pPr>
            <w:r>
              <w:t>Estructuras persistentes y barreras digitales modulares.</w:t>
            </w:r>
          </w:p>
          <w:p>
            <w:pPr>
              <w:pStyle w:val="ListBullet"/>
              <w:spacing w:after="0" w:line="240" w:lineRule="auto"/>
            </w:pPr>
            <w:r>
              <w:t>Osciladores de periodo 2 y propagación dirigida.</w:t>
            </w:r>
          </w:p>
          <w:p>
            <w:pPr>
              <w:pStyle w:val="ListBullet"/>
              <w:spacing w:after="0" w:line="240" w:lineRule="auto"/>
            </w:pPr>
            <w:r>
              <w:t>Génesis geométrica: 270 → 279 posiciones activas.</w:t>
            </w:r>
          </w:p>
          <w:p>
            <w:pPr>
              <w:pStyle w:val="ListBullet"/>
              <w:spacing w:after="0" w:line="240" w:lineRule="auto"/>
            </w:pPr>
            <w:r>
              <w:t>98 interacciones controladas por parejas.</w:t>
            </w:r>
          </w:p>
          <w:p>
            <w:pPr>
              <w:pStyle w:val="ListBullet"/>
              <w:spacing w:after="0" w:line="240" w:lineRule="auto"/>
            </w:pPr>
            <w:r>
              <w:t>12 ensayos balísticos digitales.</w:t>
            </w:r>
          </w:p>
          <w:p>
            <w:pPr>
              <w:pStyle w:val="ListBullet"/>
              <w:spacing w:after="0" w:line="240" w:lineRule="auto"/>
            </w:pPr>
            <w:r>
              <w:t>Minería automática de firmas recurrentes.</w:t>
            </w:r>
          </w:p>
          <w:p>
            <w:pPr>
              <w:pStyle w:val="ListBullet"/>
              <w:spacing w:after="0" w:line="240" w:lineRule="auto"/>
            </w:pPr>
            <w:r>
              <w:t>Comportamiento de umbral en millones de ticks.</w:t>
            </w:r>
          </w:p>
          <w:p>
            <w:pPr>
              <w:pStyle w:val="ListBullet"/>
              <w:spacing w:after="0" w:line="240" w:lineRule="auto"/>
            </w:pPr>
            <w:r>
              <w:t>Resultados positivos, negativos y contradictorios auditados.</w:t>
            </w:r>
          </w:p>
        </w:tc>
        <w:tc>
          <w:tcPr>
            <w:tcW w:type="dxa" w:w="5285"/>
            <w:shd w:fill="FFFFFF"/>
            <w:tcMar>
              <w:top w:w="130" w:type="dxa"/>
              <w:start w:w="150" w:type="dxa"/>
              <w:bottom w:w="130" w:type="dxa"/>
              <w:end w:w="150" w:type="dxa"/>
            </w:tcMar>
          </w:tcPr>
          <w:p>
            <w:r/>
            <w:r>
              <w:rPr>
                <w:b/>
                <w:color w:val="0B7285"/>
                <w:sz w:val="21"/>
              </w:rPr>
              <w:t>AFIRMACIÓN INMEDIATA</w:t>
            </w:r>
          </w:p>
          <w:p>
            <w:r>
              <w:t>DEE es una plataforma computacional funcional con dinámica 3D reproducible, telemetría, scripts y un kernel compilado protegido.</w:t>
            </w:r>
          </w:p>
          <w:p>
            <w:r>
              <w:rPr>
                <w:b/>
                <w:color w:val="0B7285"/>
                <w:sz w:val="21"/>
              </w:rPr>
              <w:t>HIPÓTESIS MÁS PROFUNDA</w:t>
            </w:r>
          </w:p>
          <w:p>
            <w:r>
              <w:t>DEE podría imitar un sustrato geométrico-informacional del cual emergen materia efectiva, reacciones y computación. Es un programa falsable, no física validada.</w:t>
            </w:r>
          </w:p>
          <w:p>
            <w:r>
              <w:rPr>
                <w:b/>
                <w:color w:val="C96A18"/>
                <w:sz w:val="21"/>
              </w:rPr>
              <w:t>LA SOLICITUD</w:t>
            </w:r>
          </w:p>
          <w:p>
            <w:r>
              <w:t>No se pide aceptar la hipótesis. Se pide reproducir resultados acotados, atacar el sistema, compararlo con referencias pertinentes y declarar qué afirmaciones sobreviven.</w:t>
            </w:r>
          </w:p>
          <w:p>
            <w:r>
              <w:rPr>
                <w:b/>
                <w:color w:val="0B7285"/>
                <w:sz w:val="21"/>
              </w:rPr>
              <w:t>ACCESO</w:t>
            </w:r>
          </w:p>
          <w:p>
            <w:r>
              <w:t>El wheel firmado, scripts autorizados y telemetría ampliada pueden entregarse bajo evaluación controlada. La fuente, derivación y reconstrucción permanecen protegidas.</w:t>
            </w:r>
          </w:p>
        </w:tc>
      </w:tr>
    </w:tbl>
    <w:sectPr w:rsidR="00FC693F" w:rsidRPr="0006063C" w:rsidSect="00034616">
      <w:pgSz w:w="12240" w:h="15840"/>
      <w:pgMar w:top="691"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color w:val="16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60"/>
      <w:outlineLvl w:val="0"/>
    </w:pPr>
    <w:rPr>
      <w:rFonts w:asciiTheme="majorHAnsi" w:eastAsiaTheme="majorEastAsia" w:hAnsiTheme="majorHAnsi" w:cstheme="majorBidi" w:ascii="Aptos Display" w:hAnsi="Aptos Display"/>
      <w:b/>
      <w:bCs/>
      <w:color w:val="0B1F33"/>
      <w:sz w:val="28"/>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ptos" w:hAnsi="Aptos"/>
      <w:b/>
      <w:bCs/>
      <w:color w:val="0B7285"/>
      <w:sz w:val="23"/>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Aptos" w:hAnsi="Aptos"/>
      <w:b/>
      <w:bCs/>
      <w:color w:val="123B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80"/>
      <w:contextualSpacing/>
    </w:pPr>
    <w:rPr>
      <w:rFonts w:asciiTheme="majorHAnsi" w:eastAsiaTheme="majorEastAsia" w:hAnsiTheme="majorHAnsi" w:cstheme="majorBidi" w:ascii="Aptos Display" w:hAnsi="Aptos Display"/>
      <w:b/>
      <w:color w:val="0B1F3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