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RESUMEN TÉCNICO DE EVIDENCIA</w:t>
      </w:r>
    </w:p>
    <w:p>
      <w:r>
        <w:rPr>
          <w:b/>
          <w:color w:val="123B5D"/>
          <w:sz w:val="26"/>
        </w:rPr>
        <w:t>Fenómenos computacionales observados, límites de afirmación y oportunidades de evaluación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Destinatario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Evaluadores técnicos, equipos corporativos de investigación y revisores científicos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Edición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1. Sistema bajo evaluación</w:t>
      </w:r>
    </w:p>
    <w:p>
      <w:r>
        <w:t>DEE Universe v24 es un motor compilado tridimensional, toroidal y basado en ticks, con estado local, dirección y memoria. La evaluación pública se realiza mediante una interfaz de caja negra accesible desde Python. La implementación del kernel y su derivación permanecen protegidas.</w:t>
      </w:r>
    </w:p>
    <w:p>
      <w:pPr>
        <w:pStyle w:val="Heading1"/>
      </w:pPr>
      <w:r>
        <w:t>2. Comportamientos demostrados seleccionados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94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324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66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permite</w:t>
            </w:r>
          </w:p>
        </w:tc>
        <w:tc>
          <w:tcPr>
            <w:tcW w:type="dxa" w:w="2448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 demuestra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Estructuras persistentes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Estructuras densas conservaron ocupación durante horizontes finitos registrados, incluidas estructuras modulares usadas en muros y canales.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Memoria, geometría modular y estructuras digitales robustas.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estabilidad infinita ni materia física.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Génesis geométrica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Un polímero registrado cambió de 270 a 279 posiciones activas; otras pruebas también produjeron ocupación condicional.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Lógica espacial y generación de estados.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creación física de masa o energía.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Propagación dirigida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Un frente dirigido avanzó 40 posiciones en 40 ticks.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Señales, canales y transporte causal.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es una medición física de la velocidad de la luz.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Dinámica de periodo 2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Varias estructuras alternaron entre dos estados repetibles durante el horizonte observado.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Relojes, sincronización y memoria dinámica.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movimiento físico perpetuo.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Corpus de reacciones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98 interacciones controladas: 49 de proximidad y 49 cinéticas.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Química digital y computación por colisiones.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equivalencia química con la naturaleza.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Balística digital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12 experimentos compararon tres objetos móviles en cuatro condiciones de barrera.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Materiales digitales y respuesta a perturbaciones.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rendimiento de blindaje físico.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Minería y taxonomía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Una corrida de caja negra identificó nueve firmas recurrentes y una macroestructura porosa persistente.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Descubrimiento automático, clasificación y datasets.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es una tabla periódica universal validada.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Evento de umbral prolongado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Una corrida alcanzó aproximadamente 7.68 millones de ticks y registró una nueva posición activa en el evento terminal.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Acumuladores, sistemas umbral y benchmarks de eventos raros.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6"/>
              </w:rPr>
              <w:t>No demuestra extracción de energía física.</w:t>
            </w:r>
          </w:p>
        </w:tc>
      </w:tr>
    </w:tbl>
    <w:p>
      <w:pPr>
        <w:spacing w:after="0"/>
      </w:pPr>
    </w:p>
    <w:p>
      <w:pPr>
        <w:pStyle w:val="Heading1"/>
      </w:pPr>
      <w:r>
        <w:t>3. Selección de telemetría de alto impacto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98</w:t>
            </w:r>
          </w:p>
        </w:tc>
        <w:tc>
          <w:tcPr>
            <w:tcW w:type="dxa" w:w="199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12</w:t>
            </w:r>
          </w:p>
        </w:tc>
        <w:tc>
          <w:tcPr>
            <w:tcW w:type="dxa" w:w="199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9</w:t>
            </w:r>
          </w:p>
        </w:tc>
        <w:tc>
          <w:tcPr>
            <w:tcW w:type="dxa" w:w="199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22</w:t>
            </w:r>
          </w:p>
        </w:tc>
        <w:tc>
          <w:tcPr>
            <w:tcW w:type="dxa" w:w="199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7.68 M</w:t>
            </w:r>
          </w:p>
        </w:tc>
      </w:tr>
      <w:tr>
        <w:tc>
          <w:tcPr>
            <w:tcW w:type="dxa" w:w="1999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123B5D"/>
                <w:sz w:val="17"/>
              </w:rPr>
              <w:t>interacciones controladas</w:t>
            </w:r>
          </w:p>
        </w:tc>
        <w:tc>
          <w:tcPr>
            <w:tcW w:type="dxa" w:w="1999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123B5D"/>
                <w:sz w:val="17"/>
              </w:rPr>
              <w:t>ensayos balísticos digitales</w:t>
            </w:r>
          </w:p>
        </w:tc>
        <w:tc>
          <w:tcPr>
            <w:tcW w:type="dxa" w:w="1999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123B5D"/>
                <w:sz w:val="17"/>
              </w:rPr>
              <w:t>firmas recurrentes minadas</w:t>
            </w:r>
          </w:p>
        </w:tc>
        <w:tc>
          <w:tcPr>
            <w:tcW w:type="dxa" w:w="1999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123B5D"/>
                <w:sz w:val="17"/>
              </w:rPr>
              <w:t>componentes en una sopa primordial</w:t>
            </w:r>
          </w:p>
        </w:tc>
        <w:tc>
          <w:tcPr>
            <w:tcW w:type="dxa" w:w="1999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123B5D"/>
                <w:sz w:val="17"/>
              </w:rPr>
              <w:t>ticks en una prueba prolongada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59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Experimento</w:t>
            </w:r>
          </w:p>
        </w:tc>
        <w:tc>
          <w:tcPr>
            <w:tcW w:type="dxa" w:w="7488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Telemetría pública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Génesis geométrica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M_D: 270 → 279; cambio neto +9; horizonte registrado de 100 ticks.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Propagación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Posición 5 → 45; desplazamiento +40 durante 40 ticks.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Sopa primordial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M_D: 1,078 → 391; 22 componentes en la corrida reportada.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Estructura porosa de caja negra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Caja envolvente 13,824; ocupación 6,488; densidad 46.93%; nueve firmas recurrentes.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Sumidero topológico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Residuos incidentes 14 → 0; estructura central 125 → 126.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Confinamiento / extrusión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Ocupación total 195 → 442; mayor estructura registrada 167 durante 40 ticks.</w:t>
            </w:r>
          </w:p>
        </w:tc>
      </w:tr>
    </w:tbl>
    <w:p>
      <w:pPr>
        <w:spacing w:after="0"/>
      </w:pPr>
    </w:p>
    <w:p>
      <w:pPr>
        <w:pStyle w:val="Heading1"/>
      </w:pPr>
      <w:r>
        <w:t>4. Resultados negativos y correcciones</w:t>
      </w:r>
    </w:p>
    <w:p>
      <w:pPr>
        <w:pStyle w:val="ListBullet"/>
        <w:spacing w:after="40"/>
      </w:pPr>
      <w:r>
        <w:t>Una propuesta de discriminación de números primos no fue respaldada; el resultado se conservó como hallazgo negativo.</w:t>
      </w:r>
    </w:p>
    <w:p>
      <w:pPr>
        <w:pStyle w:val="ListBullet"/>
        <w:spacing w:after="40"/>
      </w:pPr>
      <w:r>
        <w:t>Los logs finitos no demuestran estabilidad eterna o infinita.</w:t>
      </w:r>
    </w:p>
    <w:p>
      <w:pPr>
        <w:pStyle w:val="ListBullet"/>
        <w:spacing w:after="40"/>
      </w:pPr>
      <w:r>
        <w:t>La entropía de ocupación es una métrica informacional y no entropía termodinámica física.</w:t>
      </w:r>
    </w:p>
    <w:p>
      <w:pPr>
        <w:pStyle w:val="ListBullet"/>
        <w:spacing w:after="40"/>
      </w:pPr>
      <w:r>
        <w:t>La estructura porosa minada de la sopa primordial y el aerogel balístico posterior son conceptos relacionados, pero no el mismo objeto exacto.</w:t>
      </w:r>
    </w:p>
    <w:p>
      <w:pPr>
        <w:pStyle w:val="ListBullet"/>
        <w:spacing w:after="40"/>
      </w:pPr>
      <w:r>
        <w:t>No se afirma mecánica cuántica, relatividad, extracción de energía física, equivalencia con el Modelo Estándar ni completitud de Turing.</w:t>
      </w:r>
    </w:p>
    <w:p>
      <w:pPr>
        <w:pStyle w:val="Heading1"/>
      </w:pPr>
      <w:r>
        <w:t>5. Frontera de reproducibilidad</w:t>
      </w:r>
    </w:p>
    <w:p>
      <w:pPr>
        <w:pStyle w:val="ListBullet"/>
        <w:spacing w:after="40"/>
      </w:pPr>
      <w:r>
        <w:t>Disponible bajo evaluación controlada: wheel firmado, API Python, scripts seleccionados, hashes, protocolo de instalación y telemetría acordada.</w:t>
      </w:r>
    </w:p>
    <w:p>
      <w:pPr>
        <w:pStyle w:val="ListBullet"/>
        <w:spacing w:after="40"/>
      </w:pPr>
      <w:r>
        <w:t>Protegido: código fuente, derivación exacta, constantes internas, reglas de transición, tensores exhaustivos y procedimientos de reconstrucción.</w:t>
      </w:r>
    </w:p>
    <w:p>
      <w:pPr>
        <w:pStyle w:val="ListBullet"/>
        <w:spacing w:after="40"/>
      </w:pPr>
      <w:r>
        <w:t>Toda afirmación pública sometida a evaluación debe poder reproducirse mediante la interfaz de caja negra entregada.</w:t>
      </w:r>
    </w:p>
    <w:p>
      <w:pPr>
        <w:pStyle w:val="Heading1"/>
      </w:pPr>
      <w:r>
        <w:t>6. Oportunidades de investigación</w:t>
      </w:r>
    </w:p>
    <w:p>
      <w:pPr>
        <w:pStyle w:val="Heading2"/>
      </w:pPr>
      <w:r>
        <w:t>Sistemas complejos y vida artificial</w:t>
      </w:r>
    </w:p>
    <w:p>
      <w:r>
        <w:t>Estudiar emergencia, atractores, regímenes oscilatorios, sistemas de reacción, búsqueda abierta y la relación entre reglas locales y organización macroscópica.</w:t>
      </w:r>
    </w:p>
    <w:p>
      <w:pPr>
        <w:pStyle w:val="Heading2"/>
      </w:pPr>
      <w:r>
        <w:t>IA y modelos de mundo</w:t>
      </w:r>
    </w:p>
    <w:p>
      <w:r>
        <w:t>Utilizar trayectorias 3D deterministas para predicción, rollouts prolongados, inferencia de reglas ocultas, detección de anomalías, selección activa de experimentos y generalización fuera de distribución.</w:t>
      </w:r>
    </w:p>
    <w:p>
      <w:pPr>
        <w:pStyle w:val="Heading2"/>
      </w:pPr>
      <w:r>
        <w:t>Materiales digitales</w:t>
      </w:r>
    </w:p>
    <w:p>
      <w:r>
        <w:t>Buscar topologías por persistencia, eficiencia material, perfil de fragmentación, clase de respuesta o actividad posterior al impacto.</w:t>
      </w:r>
    </w:p>
    <w:p>
      <w:pPr>
        <w:pStyle w:val="Heading2"/>
      </w:pPr>
      <w:r>
        <w:t>Computación no convencional</w:t>
      </w:r>
    </w:p>
    <w:p>
      <w:r>
        <w:t>Probar si los candidatos observados para memoria, señales, relojes, canales, aniquilación selectiva y génesis geométrica pueden componerse en circuitos confiables.</w:t>
      </w:r>
    </w:p>
    <w:p>
      <w:pPr>
        <w:pStyle w:val="Heading1"/>
      </w:pPr>
      <w:r>
        <w:t>7. Solicitud de evaluación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UNA SOLICITUD ACOTADA</w:t>
            </w:r>
          </w:p>
          <w:p>
            <w:pPr>
              <w:spacing w:after="0" w:line="252" w:lineRule="auto"/>
            </w:pPr>
            <w:r>
              <w:t>Reproducir una suite seleccionada, probar determinismo entre entornos, perturbar condiciones iniciales, comparar con referencias pertinentes, documentar modos de fallo y declarar qué afirmaciones sobreviven. La hipótesis física profunda debe considerarse solamente después de que el sistema computacional supere la réplica independiente.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