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B7285"/>
          <w:sz w:val="20"/>
        </w:rPr>
        <w:t>DEE UNIVERSE v24</w:t>
      </w:r>
    </w:p>
    <w:p>
      <w:pPr>
        <w:pStyle w:val="Title"/>
        <w:jc w:val="left"/>
      </w:pPr>
      <w:r>
        <w:t>FOUNDATIONS AND VISIONARY PATRONS PLAYBOOK</w:t>
      </w:r>
    </w:p>
    <w:p>
      <w:r>
        <w:rPr>
          <w:b/>
          <w:color w:val="123B5D"/>
          <w:sz w:val="26"/>
        </w:rPr>
        <w:t>Exact bilingual outreach for independent validation funding</w:t>
      </w:r>
    </w:p>
    <w:p>
      <w:pPr>
        <w:spacing w:before="2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0B1F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Audience</w:t>
            </w:r>
          </w:p>
        </w:tc>
        <w:tc>
          <w:tcPr>
            <w:tcW w:type="dxa" w:w="4997"/>
            <w:shd w:fill="0B1F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Foundations, challenge organizations and public offices of named patrons</w:t>
            </w:r>
          </w:p>
        </w:tc>
      </w:tr>
      <w:tr>
        <w:tc>
          <w:tcPr>
            <w:tcW w:type="dxa" w:w="4997"/>
            <w:shd w:fill="EE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color w:val="123B5D"/>
                <w:sz w:val="19"/>
              </w:rPr>
              <w:t>Edition</w:t>
            </w:r>
          </w:p>
        </w:tc>
        <w:tc>
          <w:tcPr>
            <w:tcW w:type="dxa" w:w="4997"/>
            <w:shd w:fill="EE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9"/>
              </w:rPr>
              <w:t>23 July 2026</w:t>
            </w:r>
          </w:p>
        </w:tc>
      </w:tr>
    </w:tbl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D9F3F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/>
            <w:r>
              <w:rPr>
                <w:b/>
                <w:color w:val="0B7285"/>
                <w:sz w:val="22"/>
              </w:rPr>
              <w:t>INTERNAL USE</w:t>
            </w:r>
          </w:p>
          <w:p>
            <w:pPr>
              <w:spacing w:after="0" w:line="252" w:lineRule="auto"/>
            </w:pPr>
            <w:r>
              <w:t>Copy the relevant language, personalize the first two sentences, attach only the listed files and make one request. Do not send this playbook as an attachment.</w:t>
            </w:r>
          </w:p>
        </w:tc>
      </w:tr>
    </w:tbl>
    <w:p>
      <w:pPr>
        <w:spacing w:after="0"/>
      </w:pPr>
    </w:p>
    <w:p>
      <w:pPr>
        <w:pStyle w:val="Heading1"/>
      </w:pPr>
      <w:r>
        <w:t>1. Exact first-contact package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 w:val="true"/>
        </w:trPr>
        <w:tc>
          <w:tcPr>
            <w:tcW w:type="dxa" w:w="1944"/>
            <w:shd w:fill="0B1F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8136"/>
            <w:shd w:fill="0B1F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Instruction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7"/>
              </w:rPr>
              <w:t>Attachments</w:t>
            </w:r>
          </w:p>
        </w:tc>
        <w:tc>
          <w:tcPr>
            <w:tcW w:type="dxa" w:w="81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7"/>
              </w:rPr>
              <w:t>Executive One-Pager, Evaluation Protocol and Capabilities Matrix in the recipient language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7"/>
              </w:rPr>
              <w:t>Primary ask</w:t>
            </w:r>
          </w:p>
        </w:tc>
        <w:tc>
          <w:tcPr>
            <w:tcW w:type="dxa" w:w="81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7"/>
              </w:rPr>
              <w:t>Routing to a program officer or consideration of funding an independent validation stage.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7"/>
              </w:rPr>
              <w:t>Personalization</w:t>
            </w:r>
          </w:p>
        </w:tc>
        <w:tc>
          <w:tcPr>
            <w:tcW w:type="dxa" w:w="81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7"/>
              </w:rPr>
              <w:t>Respect the organization’s restrictions on unsolicited proposals; state that the request is for routing when necessary.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7"/>
              </w:rPr>
              <w:t>Website</w:t>
            </w:r>
          </w:p>
        </w:tc>
        <w:tc>
          <w:tcPr>
            <w:tcW w:type="dxa" w:w="81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7"/>
              </w:rPr>
              <w:t>Insert the live website URL after the first paragraph.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7"/>
              </w:rPr>
              <w:t>Do not attach</w:t>
            </w:r>
          </w:p>
        </w:tc>
        <w:tc>
          <w:tcPr>
            <w:tcW w:type="dxa" w:w="81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7"/>
              </w:rPr>
              <w:t>Full manuals, raw logs, private scripts, tensors, source code or the wheel on first contact.</w:t>
            </w:r>
          </w:p>
        </w:tc>
      </w:tr>
    </w:tbl>
    <w:p>
      <w:pPr>
        <w:spacing w:after="0"/>
      </w:pPr>
    </w:p>
    <w:p>
      <w:pPr>
        <w:pStyle w:val="Heading1"/>
      </w:pPr>
      <w:r>
        <w:t>2. English subject lines</w:t>
      </w:r>
    </w:p>
    <w:p>
      <w:pPr>
        <w:pStyle w:val="ListBullet"/>
        <w:spacing w:after="40"/>
      </w:pPr>
      <w:r>
        <w:t>Fund the test, not the conclusion — independent validation of DEE Universe v24</w:t>
      </w:r>
    </w:p>
    <w:p>
      <w:pPr>
        <w:pStyle w:val="ListBullet"/>
        <w:spacing w:after="40"/>
      </w:pPr>
      <w:r>
        <w:t>A falsifiable geometric-informational hypothesis with a functioning 3D engine</w:t>
      </w:r>
    </w:p>
    <w:p>
      <w:pPr>
        <w:pStyle w:val="ListBullet"/>
        <w:spacing w:after="40"/>
      </w:pPr>
      <w:r>
        <w:t>Independent proof program for a protected computational-physics platform</w:t>
      </w:r>
    </w:p>
    <w:p>
      <w:pPr>
        <w:pStyle w:val="Heading1"/>
      </w:pPr>
      <w:r>
        <w:t>3. English email — ready to personalize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D9F3F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/>
            <w:r>
              <w:rPr>
                <w:b/>
                <w:color w:val="0B7285"/>
                <w:sz w:val="22"/>
              </w:rPr>
              <w:t>EMAIL</w:t>
            </w:r>
          </w:p>
          <w:p>
            <w:pPr>
              <w:spacing w:after="0" w:line="252" w:lineRule="auto"/>
            </w:pPr>
            <w:r>
              <w:t>Dear [FOUNDATION / OFFICE],</w:t>
              <w:br/>
              <w:br/>
              <w:t>DEE Universe v24 is a functioning deterministic 3D computational engine whose audited records document persistent structures, oscillators, directed propagation, geometric state creation, automated taxonomies, 98 controlled interactions, 12 digital-material experiments and long-horizon threshold behavior.</w:t>
              <w:br/>
              <w:br/>
              <w:t>Its bold hypothesis is that one geometric-informational structure may imitate a deeper layer from which effective matter, reactions and computation emerge. The request is not to fund a declaration that this is true. It is to fund the independent test that can show where the hypothesis fails, where the computational findings survive and whether any useful technology follows.</w:t>
              <w:br/>
              <w:br/>
              <w:t>The proposed program uses external evaluators, adversarial perturbations, comparative baselines, public negative results and milestone-based release of funds. The protected kernel remains private, while evaluators receive sufficient black-box access to test every funded claim.</w:t>
              <w:br/>
              <w:br/>
              <w:t>Would your organization consider routing this concept to a program officer, scientific advisor or patron interested in high-risk, proof-driven validation?</w:t>
              <w:br/>
              <w:br/>
              <w:t>Website: [WEBSITE]</w:t>
              <w:br/>
              <w:br/>
              <w:t>Sincerely,</w:t>
              <w:br/>
              <w:t>[AUTHOR]</w:t>
              <w:br/>
              <w:t>[ORGANIZATION]</w:t>
              <w:br/>
              <w:t>[EMAIL]</w:t>
            </w:r>
          </w:p>
        </w:tc>
      </w:tr>
    </w:tbl>
    <w:p>
      <w:pPr>
        <w:spacing w:after="0"/>
      </w:pPr>
    </w:p>
    <w:p>
      <w:pPr>
        <w:pStyle w:val="Heading1"/>
      </w:pPr>
      <w:r>
        <w:t>4. English follow-up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8EBDD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/>
            <w:r>
              <w:rPr>
                <w:b/>
                <w:color w:val="C96A18"/>
                <w:sz w:val="22"/>
              </w:rPr>
              <w:t>FOLLOW-UP</w:t>
            </w:r>
          </w:p>
          <w:p>
            <w:pPr>
              <w:spacing w:after="0" w:line="252" w:lineRule="auto"/>
            </w:pPr>
            <w:r>
              <w:t>Dear [NAME / OFFICE], I am following up once on the DEE Universe v24 validation proposal. The governing principle is simple: fund the test, not the conclusion. External evaluators control the analysis and may publish negative results. Could you advise whether this belongs with a specific program officer or funding pathway?</w:t>
            </w:r>
          </w:p>
        </w:tc>
      </w:tr>
    </w:tbl>
    <w:p>
      <w:pPr>
        <w:spacing w:after="0"/>
      </w:pPr>
    </w:p>
    <w:p>
      <w:pPr>
        <w:pStyle w:val="Heading1"/>
      </w:pPr>
      <w:r>
        <w:t>5. Asuntos en español</w:t>
      </w:r>
    </w:p>
    <w:p>
      <w:pPr>
        <w:pStyle w:val="ListBullet"/>
        <w:spacing w:after="40"/>
      </w:pPr>
      <w:r>
        <w:t>Financiar la prueba, no la conclusión — validación independiente de DEE Universe v24</w:t>
      </w:r>
    </w:p>
    <w:p>
      <w:pPr>
        <w:pStyle w:val="ListBullet"/>
        <w:spacing w:after="40"/>
      </w:pPr>
      <w:r>
        <w:t>Una hipótesis geométrico-informacional falsable con un motor 3D funcional</w:t>
      </w:r>
    </w:p>
    <w:p>
      <w:pPr>
        <w:pStyle w:val="ListBullet"/>
        <w:spacing w:after="40"/>
      </w:pPr>
      <w:r>
        <w:t>Programa de prueba independiente para una plataforma protegida de física computacional</w:t>
      </w:r>
    </w:p>
    <w:p>
      <w:pPr>
        <w:pStyle w:val="Heading1"/>
      </w:pPr>
      <w:r>
        <w:t>6. Correo en español — listo para personalizar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D9F3F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/>
            <w:r>
              <w:rPr>
                <w:b/>
                <w:color w:val="0B7285"/>
                <w:sz w:val="22"/>
              </w:rPr>
              <w:t>CORREO</w:t>
            </w:r>
          </w:p>
          <w:p>
            <w:pPr>
              <w:spacing w:after="0" w:line="252" w:lineRule="auto"/>
            </w:pPr>
            <w:r>
              <w:t>Estimado equipo de [FUNDACIÓN / OFICINA]:</w:t>
              <w:br/>
              <w:br/>
              <w:t>DEE Universe v24 es un motor computacional tridimensional determinista y funcional cuyos registros auditados documentan estructuras persistentes, osciladores, propagación dirigida, génesis geométrica de estados, taxonomías automáticas, 98 interacciones controladas, 12 experimentos de materiales digitales y comportamiento de umbral de larga duración.</w:t>
              <w:br/>
              <w:br/>
              <w:t>Su hipótesis audaz es que una estructura geométrico-informacional podría imitar una capa más profunda de la cual emergen materia efectiva, reacciones y computación. La solicitud no es financiar una declaración de que esto es verdadero. Es financiar la prueba independiente que muestre dónde falla la hipótesis, qué resultados computacionales sobreviven y si se deriva tecnología útil.</w:t>
              <w:br/>
              <w:br/>
              <w:t>El programa propuesto utiliza evaluadores externos, perturbaciones adversariales, referencias comparativas, publicación de resultados negativos y liberación de recursos por hitos. El kernel protegido permanece privado, mientras los evaluadores reciben acceso de caja negra suficiente para probar cada afirmación financiada.</w:t>
              <w:br/>
              <w:br/>
              <w:t>¿Consideraría su organización canalizar esta propuesta con un responsable de programa, asesor científico o patrono interesado en validación de alto riesgo orientada a prueba?</w:t>
              <w:br/>
              <w:br/>
              <w:t>Sitio web: [SITIO WEB]</w:t>
              <w:br/>
              <w:br/>
              <w:t>Atentamente,</w:t>
              <w:br/>
              <w:t>[AUTOR]</w:t>
              <w:br/>
              <w:t>[ORGANIZACIÓN]</w:t>
              <w:br/>
              <w:t>[CORREO]</w:t>
            </w:r>
          </w:p>
        </w:tc>
      </w:tr>
    </w:tbl>
    <w:p>
      <w:pPr>
        <w:spacing w:after="0"/>
      </w:pPr>
    </w:p>
    <w:p>
      <w:pPr>
        <w:pStyle w:val="Heading1"/>
      </w:pPr>
      <w:r>
        <w:t>7. Seguimiento en español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8EBDD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/>
            <w:r>
              <w:rPr>
                <w:b/>
                <w:color w:val="C96A18"/>
                <w:sz w:val="22"/>
              </w:rPr>
              <w:t>SEGUIMIENTO</w:t>
            </w:r>
          </w:p>
          <w:p>
            <w:pPr>
              <w:spacing w:after="0" w:line="252" w:lineRule="auto"/>
            </w:pPr>
            <w:r>
              <w:t>Estimado equipo / [NOMBRE]: realizo un único seguimiento sobre la propuesta de validación de DEE Universe v24. El principio es simple: financiar la prueba, no la conclusión. Los evaluadores externos controlan el análisis y pueden publicar resultados negativos. ¿Podrían indicar si corresponde a un responsable o programa específico?</w:t>
            </w:r>
          </w:p>
        </w:tc>
      </w:tr>
    </w:tbl>
    <w:p>
      <w:pPr>
        <w:spacing w:after="0"/>
      </w:pPr>
    </w:p>
    <w:p>
      <w:pPr>
        <w:pStyle w:val="Heading1"/>
      </w:pPr>
      <w:r>
        <w:t>8. Tone audit</w:t>
      </w:r>
    </w:p>
    <w:p>
      <w:pPr>
        <w:pStyle w:val="ListBullet"/>
        <w:spacing w:after="40"/>
      </w:pPr>
      <w:r>
        <w:t>Bold: presents a functioning 3D computational ecology and the deeper informational-geometry hypothesis.</w:t>
      </w:r>
    </w:p>
    <w:p>
      <w:pPr>
        <w:pStyle w:val="ListBullet"/>
        <w:spacing w:after="40"/>
      </w:pPr>
      <w:r>
        <w:t>Disruptive: frames the system as a possible new research substrate for physics, AI, digital materials and unconventional computing.</w:t>
      </w:r>
    </w:p>
    <w:p>
      <w:pPr>
        <w:pStyle w:val="ListBullet"/>
        <w:spacing w:after="40"/>
      </w:pPr>
      <w:r>
        <w:t>Conservative: asks for testing, routing, a pilot or diligence—not endorsement.</w:t>
      </w:r>
    </w:p>
    <w:p>
      <w:pPr>
        <w:pStyle w:val="ListBullet"/>
        <w:spacing w:after="40"/>
      </w:pPr>
      <w:r>
        <w:t>Auditable: every public metric must remain traceable to the audited v24 corpus.</w:t>
      </w:r>
    </w:p>
    <w:p>
      <w:pPr>
        <w:pStyle w:val="ListBullet"/>
        <w:spacing w:after="40"/>
      </w:pPr>
      <w:r>
        <w:t>Protected: the first contact discloses outputs and scope, not reconstruction details.</w:t>
      </w:r>
    </w:p>
    <w:sectPr w:rsidR="00FC693F" w:rsidRPr="0006063C" w:rsidSect="00034616"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1621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1F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0B728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123B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0B1F3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