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DEEP-TECH INVESTORS PLAYBOOK</w:t>
      </w:r>
    </w:p>
    <w:p>
      <w:r>
        <w:rPr>
          <w:b/>
          <w:color w:val="123B5D"/>
          <w:sz w:val="26"/>
        </w:rPr>
        <w:t>Exact bilingual outreach for proof-driven capital and technical diligence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Deep-tech funds, strategic investors and technical diligence teams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Edition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July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INTERNAL USE</w:t>
            </w:r>
          </w:p>
          <w:p>
            <w:pPr>
              <w:spacing w:after="0" w:line="252" w:lineRule="auto"/>
            </w:pPr>
            <w:r>
              <w:t>Copy the relevant language, personalize the first two sentences, attach only the listed files and make one request. Do not send this playbook as an attachment.</w:t>
            </w:r>
          </w:p>
        </w:tc>
      </w:tr>
    </w:tbl>
    <w:p>
      <w:pPr>
        <w:spacing w:after="0"/>
      </w:pPr>
    </w:p>
    <w:p>
      <w:pPr>
        <w:pStyle w:val="Heading1"/>
      </w:pPr>
      <w:r>
        <w:t>1. Exact first-contact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136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Instruction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Attachments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Executive One-Pager, Capabilities Matrix and Technical Evidence Brief in the recipient language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Primary ask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A technical diligence call focused on replication milestones and one commercial wedge.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Personalization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Reference the fund’s actual thesis: deep tech, AI infrastructure, materials, simulation or unconventional computing.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Website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Insert the live website URL after the first paragraph.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Do not attach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Full manuals, raw logs, private scripts, tensors, source code or the wheel on first contact.</w:t>
            </w:r>
          </w:p>
        </w:tc>
      </w:tr>
    </w:tbl>
    <w:p>
      <w:pPr>
        <w:spacing w:after="0"/>
      </w:pPr>
    </w:p>
    <w:p>
      <w:pPr>
        <w:pStyle w:val="Heading1"/>
      </w:pPr>
      <w:r>
        <w:t>2. English subject lines</w:t>
      </w:r>
    </w:p>
    <w:p>
      <w:pPr>
        <w:pStyle w:val="ListBullet"/>
        <w:spacing w:after="40"/>
      </w:pPr>
      <w:r>
        <w:t>DEE Universe v24 — proprietary 3D dynamics engine seeking a proof-driven deep-tech partner</w:t>
      </w:r>
    </w:p>
    <w:p>
      <w:pPr>
        <w:pStyle w:val="ListBullet"/>
        <w:spacing w:after="40"/>
      </w:pPr>
      <w:r>
        <w:t>One protected computational substrate; three product wedges; independent replication first</w:t>
      </w:r>
    </w:p>
    <w:p>
      <w:pPr>
        <w:pStyle w:val="ListBullet"/>
        <w:spacing w:after="40"/>
      </w:pPr>
      <w:r>
        <w:t>High-risk physics hypothesis, bounded software diligence</w:t>
      </w:r>
    </w:p>
    <w:p>
      <w:pPr>
        <w:pStyle w:val="Heading1"/>
      </w:pPr>
      <w:r>
        <w:t>3. English email — ready to personalize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EMAIL</w:t>
            </w:r>
          </w:p>
          <w:p>
            <w:pPr>
              <w:spacing w:after="0" w:line="252" w:lineRule="auto"/>
            </w:pPr>
            <w:r>
              <w:t>Dear [NAME / FUND],</w:t>
              <w:br/>
              <w:br/>
              <w:t>DEE Universe v24 is a functioning proprietary 3D computational engine with audited evidence of persistent structures, oscillators, directed propagation, geometric state creation, automated taxonomies, 98 controlled interactions, 12 digital-material experiments and long-horizon threshold behavior.</w:t>
              <w:br/>
              <w:br/>
              <w:t>The investment thesis is deliberately asymmetric. The protected engine already exists; the next capital is used to prove or disprove three commercial wedges: an AI world-model benchmark, a digital-material search platform and an unconventional-computing SDK. The deeper thesis is more audacious: one geometric-informational dynamics may imitate a substrate beneath effective matter and computation.</w:t>
              <w:br/>
              <w:br/>
              <w:t>The diligence plan is conservative: source custody and signing, independent replication, comparative benchmarks, one application proof and a paid pilot before large-scale commercialization.</w:t>
              <w:br/>
              <w:br/>
              <w:t>Would you consider a technical diligence call focused on the first replication milestone and the strongest product wedge?</w:t>
              <w:br/>
              <w:br/>
              <w:t>Website: [WEBSITE]</w:t>
              <w:br/>
              <w:br/>
              <w:t>Sincerely,</w:t>
              <w:br/>
              <w:t>[AUTHOR]</w:t>
              <w:br/>
              <w:t>[ORGANIZATION]</w:t>
              <w:br/>
              <w:t>[EMAIL]</w:t>
            </w:r>
          </w:p>
        </w:tc>
      </w:tr>
    </w:tbl>
    <w:p>
      <w:pPr>
        <w:spacing w:after="0"/>
      </w:pPr>
    </w:p>
    <w:p>
      <w:pPr>
        <w:pStyle w:val="Heading1"/>
      </w:pPr>
      <w:r>
        <w:t>4. English follow-up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FOLLOW-UP</w:t>
            </w:r>
          </w:p>
          <w:p>
            <w:pPr>
              <w:spacing w:after="0" w:line="252" w:lineRule="auto"/>
            </w:pPr>
            <w:r>
              <w:t>Dear [NAME], I am following up once on DEE Universe v24. The proposed first milestone is not a broad physics claim; it is an external replication and benchmark package that can terminate the project early if the evidence fails. Would that proof-driven structure fit your deep-tech diligence model?</w:t>
            </w:r>
          </w:p>
        </w:tc>
      </w:tr>
    </w:tbl>
    <w:p>
      <w:pPr>
        <w:spacing w:after="0"/>
      </w:pPr>
    </w:p>
    <w:p>
      <w:pPr>
        <w:pStyle w:val="Heading1"/>
      </w:pPr>
      <w:r>
        <w:t>5. Asuntos en español</w:t>
      </w:r>
    </w:p>
    <w:p>
      <w:pPr>
        <w:pStyle w:val="ListBullet"/>
        <w:spacing w:after="40"/>
      </w:pPr>
      <w:r>
        <w:t>DEE Universe v24 — motor 3D propietario en busca de un socio deep-tech orientado a prueba</w:t>
      </w:r>
    </w:p>
    <w:p>
      <w:pPr>
        <w:pStyle w:val="ListBullet"/>
        <w:spacing w:after="40"/>
      </w:pPr>
      <w:r>
        <w:t>Un sustrato computacional protegido, tres rutas de producto y réplica primero</w:t>
      </w:r>
    </w:p>
    <w:p>
      <w:pPr>
        <w:pStyle w:val="ListBullet"/>
        <w:spacing w:after="40"/>
      </w:pPr>
      <w:r>
        <w:t>Hipótesis física de alto riesgo y diligencia de software acotada</w:t>
      </w:r>
    </w:p>
    <w:p>
      <w:pPr>
        <w:pStyle w:val="Heading1"/>
      </w:pPr>
      <w:r>
        <w:t>6. Correo en español — listo para personalizar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CORREO</w:t>
            </w:r>
          </w:p>
          <w:p>
            <w:pPr>
              <w:spacing w:after="0" w:line="252" w:lineRule="auto"/>
            </w:pPr>
            <w:r>
              <w:t>Estimado/a [NOMBRE / FONDO]:</w:t>
              <w:br/>
              <w:br/>
              <w:t>DEE Universe v24 es un motor computacional tridimensional propietario y funcional con evidencia auditada de estructuras persistentes, osciladores, propagación dirigida, génesis geométrica de estados, taxonomías automáticas, 98 interacciones controladas, 12 experimentos de materiales digitales y comportamiento de umbral de larga duración.</w:t>
              <w:br/>
              <w:br/>
              <w:t>La tesis de inversión es deliberadamente asimétrica. El motor protegido ya existe; el siguiente capital se utiliza para probar o descartar tres rutas comerciales: benchmark de modelos de mundo para IA, plataforma de búsqueda de materiales digitales y SDK de computación no convencional. La tesis profunda es más audaz: una dinámica geométrico-informacional podría imitar un sustrato por debajo de la materia y la computación efectivas.</w:t>
              <w:br/>
              <w:br/>
              <w:t>El plan de diligencia es conservador: custodia y firma, réplica independiente, benchmarks comparativos, una prueba de aplicación y un piloto pagado antes de comercializar a gran escala.</w:t>
              <w:br/>
              <w:br/>
              <w:t>¿Consideraría una llamada de diligencia técnica centrada en el primer hito de réplica y la ruta de producto más sólida?</w:t>
              <w:br/>
              <w:br/>
              <w:t>Sitio web: [SITIO WEB]</w:t>
              <w:br/>
              <w:br/>
              <w:t>Atentamente,</w:t>
              <w:br/>
              <w:t>[AUTOR]</w:t>
              <w:br/>
              <w:t>[ORGANIZACIÓN]</w:t>
              <w:br/>
              <w:t>[CORREO]</w:t>
            </w:r>
          </w:p>
        </w:tc>
      </w:tr>
    </w:tbl>
    <w:p>
      <w:pPr>
        <w:spacing w:after="0"/>
      </w:pPr>
    </w:p>
    <w:p>
      <w:pPr>
        <w:pStyle w:val="Heading1"/>
      </w:pPr>
      <w:r>
        <w:t>7. Seguimiento en español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SEGUIMIENTO</w:t>
            </w:r>
          </w:p>
          <w:p>
            <w:pPr>
              <w:spacing w:after="0" w:line="252" w:lineRule="auto"/>
            </w:pPr>
            <w:r>
              <w:t>Estimado/a [NOMBRE]: realizo un único seguimiento sobre DEE Universe v24. El primer hito propuesto no es una afirmación amplia de física; es un paquete externo de réplica y benchmark que puede detener el proyecto si la evidencia falla. ¿Esta estructura orientada a prueba encaja con su modelo de diligencia deep-tech?</w:t>
            </w:r>
          </w:p>
        </w:tc>
      </w:tr>
    </w:tbl>
    <w:p>
      <w:pPr>
        <w:spacing w:after="0"/>
      </w:pPr>
    </w:p>
    <w:p>
      <w:pPr>
        <w:pStyle w:val="Heading1"/>
      </w:pPr>
      <w:r>
        <w:t>8. Tone audit</w:t>
      </w:r>
    </w:p>
    <w:p>
      <w:pPr>
        <w:pStyle w:val="ListBullet"/>
        <w:spacing w:after="40"/>
      </w:pPr>
      <w:r>
        <w:t>Bold: presents a functioning 3D computational ecology and the deeper informational-geometry hypothesis.</w:t>
      </w:r>
    </w:p>
    <w:p>
      <w:pPr>
        <w:pStyle w:val="ListBullet"/>
        <w:spacing w:after="40"/>
      </w:pPr>
      <w:r>
        <w:t>Disruptive: frames the system as a possible new research substrate for physics, AI, digital materials and unconventional computing.</w:t>
      </w:r>
    </w:p>
    <w:p>
      <w:pPr>
        <w:pStyle w:val="ListBullet"/>
        <w:spacing w:after="40"/>
      </w:pPr>
      <w:r>
        <w:t>Conservative: asks for testing, routing, a pilot or diligence—not endorsement.</w:t>
      </w:r>
    </w:p>
    <w:p>
      <w:pPr>
        <w:pStyle w:val="ListBullet"/>
        <w:spacing w:after="40"/>
      </w:pPr>
      <w:r>
        <w:t>Auditable: every public metric must remain traceable to the audited v24 corpus.</w:t>
      </w:r>
    </w:p>
    <w:p>
      <w:pPr>
        <w:pStyle w:val="ListBullet"/>
        <w:spacing w:after="40"/>
      </w:pPr>
      <w:r>
        <w:t>Protected: the first contact discloses outputs and scope, not reconstruction details.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