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7285"/>
          <w:sz w:val="20"/>
        </w:rPr>
        <w:t>DEE UNIVERSE v24</w:t>
      </w:r>
    </w:p>
    <w:p>
      <w:pPr>
        <w:pStyle w:val="Title"/>
        <w:jc w:val="left"/>
      </w:pPr>
      <w:r>
        <w:t>JOURNALS AND CONFERENCES PLAYBOOK</w:t>
      </w:r>
    </w:p>
    <w:p>
      <w:r>
        <w:rPr>
          <w:b/>
          <w:color w:val="123B5D"/>
          <w:sz w:val="26"/>
        </w:rPr>
        <w:t>Exact bilingual editorial inquiry and submission positioning</w:t>
      </w:r>
    </w:p>
    <w:p>
      <w:pPr>
        <w:spacing w:before="240"/>
      </w:pPr>
    </w:p>
    <w:tbl>
      <w:tblPr>
        <w:tblW w:type="auto" w:w="0"/>
        <w:jc w:val="left"/>
        <w:tblLayout w:type="autofit"/>
        <w:tblLook w:firstColumn="1" w:firstRow="1" w:lastColumn="0" w:lastRow="0" w:noHBand="0" w:noVBand="1" w:val="04A0"/>
      </w:tblPr>
      <w:tblGrid>
        <w:gridCol w:w="4997"/>
        <w:gridCol w:w="4997"/>
      </w:tblGrid>
      <w:tr>
        <w:tc>
          <w:tcPr>
            <w:tcW w:type="dxa" w:w="4997"/>
            <w:shd w:fill="0B1F33"/>
            <w:vAlign w:val="center"/>
            <w:tcMar>
              <w:top w:w="100" w:type="dxa"/>
              <w:start w:w="120" w:type="dxa"/>
              <w:bottom w:w="100" w:type="dxa"/>
              <w:end w:w="120" w:type="dxa"/>
            </w:tcMar>
          </w:tcPr>
          <w:p>
            <w:pPr>
              <w:spacing w:after="0" w:line="252" w:lineRule="auto"/>
              <w:jc w:val="left"/>
            </w:pPr>
            <w:r/>
            <w:r>
              <w:rPr>
                <w:rFonts w:ascii="Aptos" w:hAnsi="Aptos"/>
                <w:b/>
                <w:color w:val="FFFFFF"/>
                <w:sz w:val="19"/>
              </w:rPr>
              <w:t>Audience</w:t>
            </w:r>
          </w:p>
        </w:tc>
        <w:tc>
          <w:tcPr>
            <w:tcW w:type="dxa" w:w="4997"/>
            <w:shd w:fill="0B1F33"/>
            <w:vAlign w:val="center"/>
            <w:tcMar>
              <w:top w:w="100" w:type="dxa"/>
              <w:start w:w="120" w:type="dxa"/>
              <w:bottom w:w="100" w:type="dxa"/>
              <w:end w:w="120" w:type="dxa"/>
            </w:tcMar>
          </w:tcPr>
          <w:p>
            <w:pPr>
              <w:spacing w:after="0" w:line="252" w:lineRule="auto"/>
              <w:jc w:val="left"/>
            </w:pPr>
            <w:r/>
            <w:r>
              <w:rPr>
                <w:rFonts w:ascii="Aptos" w:hAnsi="Aptos"/>
                <w:b/>
                <w:color w:val="FFFFFF"/>
                <w:sz w:val="19"/>
              </w:rPr>
              <w:t>Editors, journal offices and conference chairs</w:t>
            </w:r>
          </w:p>
        </w:tc>
      </w:tr>
      <w:tr>
        <w:tc>
          <w:tcPr>
            <w:tcW w:type="dxa" w:w="4997"/>
            <w:shd w:fill="EEF4F7"/>
            <w:vAlign w:val="center"/>
            <w:tcMar>
              <w:top w:w="100" w:type="dxa"/>
              <w:start w:w="120" w:type="dxa"/>
              <w:bottom w:w="100" w:type="dxa"/>
              <w:end w:w="120" w:type="dxa"/>
            </w:tcMar>
          </w:tcPr>
          <w:p>
            <w:pPr>
              <w:spacing w:after="0" w:line="252" w:lineRule="auto"/>
              <w:jc w:val="left"/>
            </w:pPr>
            <w:r/>
            <w:r>
              <w:rPr>
                <w:rFonts w:ascii="Aptos" w:hAnsi="Aptos"/>
                <w:b/>
                <w:color w:val="123B5D"/>
                <w:sz w:val="19"/>
              </w:rPr>
              <w:t>Edition</w:t>
            </w:r>
          </w:p>
        </w:tc>
        <w:tc>
          <w:tcPr>
            <w:tcW w:type="dxa" w:w="4997"/>
            <w:shd w:fill="EEF4F7"/>
            <w:vAlign w:val="center"/>
            <w:tcMar>
              <w:top w:w="100" w:type="dxa"/>
              <w:start w:w="120" w:type="dxa"/>
              <w:bottom w:w="100" w:type="dxa"/>
              <w:end w:w="120" w:type="dxa"/>
            </w:tcMar>
          </w:tcPr>
          <w:p>
            <w:pPr>
              <w:spacing w:after="0" w:line="252" w:lineRule="auto"/>
              <w:jc w:val="left"/>
            </w:pPr>
            <w:r/>
            <w:r>
              <w:rPr>
                <w:rFonts w:ascii="Aptos" w:hAnsi="Aptos"/>
                <w:b w:val="0"/>
                <w:color w:val="16212B"/>
                <w:sz w:val="19"/>
              </w:rPr>
              <w:t>23 July 2026</w:t>
            </w:r>
          </w:p>
        </w:tc>
      </w:tr>
    </w:tbl>
    <w:p>
      <w:r>
        <w:br w:type="page"/>
      </w:r>
    </w:p>
    <w:tbl>
      <w:tblPr>
        <w:tblW w:type="auto" w:w="0"/>
        <w:jc w:val="left"/>
        <w:tblLook w:firstColumn="1" w:firstRow="1" w:lastColumn="0" w:lastRow="0" w:noHBand="0" w:noVBand="1" w:val="04A0"/>
      </w:tblPr>
      <w:tblGrid>
        <w:gridCol w:w="9994"/>
      </w:tblGrid>
      <w:tr>
        <w:tc>
          <w:tcPr>
            <w:tcW w:type="dxa" w:w="9994"/>
            <w:shd w:fill="D9F3F6"/>
            <w:tcMar>
              <w:top w:w="160" w:type="dxa"/>
              <w:start w:w="180" w:type="dxa"/>
              <w:bottom w:w="160" w:type="dxa"/>
              <w:end w:w="180" w:type="dxa"/>
            </w:tcMar>
          </w:tcPr>
          <w:p>
            <w:pPr>
              <w:spacing w:after="80"/>
            </w:pPr>
            <w:r/>
            <w:r>
              <w:rPr>
                <w:b/>
                <w:color w:val="0B7285"/>
                <w:sz w:val="22"/>
              </w:rPr>
              <w:t>INTERNAL USE</w:t>
            </w:r>
          </w:p>
          <w:p>
            <w:pPr>
              <w:spacing w:after="0" w:line="252" w:lineRule="auto"/>
            </w:pPr>
            <w:r>
              <w:t>Copy the relevant language, personalize the first two sentences, attach only the listed files and make one request. Do not send this playbook as an attachment.</w:t>
            </w:r>
          </w:p>
        </w:tc>
      </w:tr>
    </w:tbl>
    <w:p>
      <w:pPr>
        <w:spacing w:after="0"/>
      </w:pPr>
    </w:p>
    <w:p>
      <w:pPr>
        <w:pStyle w:val="Heading1"/>
      </w:pPr>
      <w:r>
        <w:t>1. Exact first-contact package</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194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Item</w:t>
            </w:r>
          </w:p>
        </w:tc>
        <w:tc>
          <w:tcPr>
            <w:tcW w:type="dxa" w:w="8136"/>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Instruction</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7"/>
              </w:rPr>
              <w:t>Attachments</w:t>
            </w:r>
          </w:p>
        </w:tc>
        <w:tc>
          <w:tcPr>
            <w:tcW w:type="dxa" w:w="8136"/>
            <w:vAlign w:val="center"/>
            <w:tcMar>
              <w:top w:w="100" w:type="dxa"/>
              <w:start w:w="120" w:type="dxa"/>
              <w:bottom w:w="100" w:type="dxa"/>
              <w:end w:w="120" w:type="dxa"/>
            </w:tcMar>
          </w:tcPr>
          <w:p>
            <w:pPr>
              <w:spacing w:after="0" w:line="252" w:lineRule="auto"/>
              <w:jc w:val="left"/>
            </w:pPr>
            <w:r/>
            <w:r>
              <w:rPr>
                <w:rFonts w:ascii="Aptos" w:hAnsi="Aptos"/>
                <w:b w:val="0"/>
                <w:color w:val="16212B"/>
                <w:sz w:val="17"/>
              </w:rPr>
              <w:t>First inquiry: Executive One-Pager only, unless the journal accepts presubmission attachments; After interest: Technical Evidence Brief and the scoped abstract described in the email</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7"/>
              </w:rPr>
              <w:t>Primary ask</w:t>
            </w:r>
          </w:p>
        </w:tc>
        <w:tc>
          <w:tcPr>
            <w:tcW w:type="dxa" w:w="8136"/>
            <w:vAlign w:val="center"/>
            <w:tcMar>
              <w:top w:w="100" w:type="dxa"/>
              <w:start w:w="120" w:type="dxa"/>
              <w:bottom w:w="100" w:type="dxa"/>
              <w:end w:w="120" w:type="dxa"/>
            </w:tcMar>
          </w:tcPr>
          <w:p>
            <w:pPr>
              <w:spacing w:after="0" w:line="252" w:lineRule="auto"/>
              <w:jc w:val="left"/>
            </w:pPr>
            <w:r/>
            <w:r>
              <w:rPr>
                <w:rFonts w:ascii="Aptos" w:hAnsi="Aptos"/>
                <w:b w:val="0"/>
                <w:color w:val="16212B"/>
                <w:sz w:val="17"/>
              </w:rPr>
              <w:t>Ask whether the manuscript fits and whether controlled black-box reproducibility is acceptable.</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7"/>
              </w:rPr>
              <w:t>Personalization</w:t>
            </w:r>
          </w:p>
        </w:tc>
        <w:tc>
          <w:tcPr>
            <w:tcW w:type="dxa" w:w="8136"/>
            <w:vAlign w:val="center"/>
            <w:tcMar>
              <w:top w:w="100" w:type="dxa"/>
              <w:start w:w="120" w:type="dxa"/>
              <w:bottom w:w="100" w:type="dxa"/>
              <w:end w:w="120" w:type="dxa"/>
            </w:tcMar>
          </w:tcPr>
          <w:p>
            <w:pPr>
              <w:spacing w:after="0" w:line="252" w:lineRule="auto"/>
              <w:jc w:val="left"/>
            </w:pPr>
            <w:r/>
            <w:r>
              <w:rPr>
                <w:rFonts w:ascii="Aptos" w:hAnsi="Aptos"/>
                <w:b w:val="0"/>
                <w:color w:val="16212B"/>
                <w:sz w:val="17"/>
              </w:rPr>
              <w:t>Mention the exact journal section or conference track and why the computational scope fits it.</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7"/>
              </w:rPr>
              <w:t>Website</w:t>
            </w:r>
          </w:p>
        </w:tc>
        <w:tc>
          <w:tcPr>
            <w:tcW w:type="dxa" w:w="8136"/>
            <w:vAlign w:val="center"/>
            <w:tcMar>
              <w:top w:w="100" w:type="dxa"/>
              <w:start w:w="120" w:type="dxa"/>
              <w:bottom w:w="100" w:type="dxa"/>
              <w:end w:w="120" w:type="dxa"/>
            </w:tcMar>
          </w:tcPr>
          <w:p>
            <w:pPr>
              <w:spacing w:after="0" w:line="252" w:lineRule="auto"/>
              <w:jc w:val="left"/>
            </w:pPr>
            <w:r/>
            <w:r>
              <w:rPr>
                <w:rFonts w:ascii="Aptos" w:hAnsi="Aptos"/>
                <w:b w:val="0"/>
                <w:color w:val="16212B"/>
                <w:sz w:val="17"/>
              </w:rPr>
              <w:t>Insert the live website URL after the first paragraph.</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7"/>
              </w:rPr>
              <w:t>Do not attach</w:t>
            </w:r>
          </w:p>
        </w:tc>
        <w:tc>
          <w:tcPr>
            <w:tcW w:type="dxa" w:w="8136"/>
            <w:vAlign w:val="center"/>
            <w:tcMar>
              <w:top w:w="100" w:type="dxa"/>
              <w:start w:w="120" w:type="dxa"/>
              <w:bottom w:w="100" w:type="dxa"/>
              <w:end w:w="120" w:type="dxa"/>
            </w:tcMar>
          </w:tcPr>
          <w:p>
            <w:pPr>
              <w:spacing w:after="0" w:line="252" w:lineRule="auto"/>
              <w:jc w:val="left"/>
            </w:pPr>
            <w:r/>
            <w:r>
              <w:rPr>
                <w:rFonts w:ascii="Aptos" w:hAnsi="Aptos"/>
                <w:b w:val="0"/>
                <w:color w:val="16212B"/>
                <w:sz w:val="17"/>
              </w:rPr>
              <w:t>Full manuals, raw logs, private scripts, tensors, source code or the wheel on first contact.</w:t>
            </w:r>
          </w:p>
        </w:tc>
      </w:tr>
    </w:tbl>
    <w:p>
      <w:pPr>
        <w:spacing w:after="0"/>
      </w:pPr>
    </w:p>
    <w:p>
      <w:pPr>
        <w:pStyle w:val="Heading1"/>
      </w:pPr>
      <w:r>
        <w:t>2. English subject lines</w:t>
      </w:r>
    </w:p>
    <w:p>
      <w:pPr>
        <w:pStyle w:val="ListBullet"/>
        <w:spacing w:after="40"/>
      </w:pPr>
      <w:r>
        <w:t>Submission fit — reproducible emergent structures in a deterministic 3D system</w:t>
      </w:r>
    </w:p>
    <w:p>
      <w:pPr>
        <w:pStyle w:val="ListBullet"/>
        <w:spacing w:after="40"/>
      </w:pPr>
      <w:r>
        <w:t>Editorial inquiry: taxonomy, reactions and digital materials in DEE Universe v24</w:t>
      </w:r>
    </w:p>
    <w:p>
      <w:pPr>
        <w:pStyle w:val="ListBullet"/>
        <w:spacing w:after="40"/>
      </w:pPr>
      <w:r>
        <w:t>Proprietary kernel, reproducible claims — manuscript fit inquiry</w:t>
      </w:r>
    </w:p>
    <w:p>
      <w:pPr>
        <w:pStyle w:val="Heading1"/>
      </w:pPr>
      <w:r>
        <w:t>3. English email — ready to personalize</w:t>
      </w:r>
    </w:p>
    <w:tbl>
      <w:tblPr>
        <w:tblW w:type="auto" w:w="0"/>
        <w:jc w:val="left"/>
        <w:tblLook w:firstColumn="1" w:firstRow="1" w:lastColumn="0" w:lastRow="0" w:noHBand="0" w:noVBand="1" w:val="04A0"/>
      </w:tblPr>
      <w:tblGrid>
        <w:gridCol w:w="9994"/>
      </w:tblGrid>
      <w:tr>
        <w:tc>
          <w:tcPr>
            <w:tcW w:type="dxa" w:w="9994"/>
            <w:shd w:fill="D9F3F6"/>
            <w:tcMar>
              <w:top w:w="160" w:type="dxa"/>
              <w:start w:w="180" w:type="dxa"/>
              <w:bottom w:w="160" w:type="dxa"/>
              <w:end w:w="180" w:type="dxa"/>
            </w:tcMar>
          </w:tcPr>
          <w:p>
            <w:pPr>
              <w:spacing w:after="80"/>
            </w:pPr>
            <w:r/>
            <w:r>
              <w:rPr>
                <w:b/>
                <w:color w:val="0B7285"/>
                <w:sz w:val="22"/>
              </w:rPr>
              <w:t>EMAIL</w:t>
            </w:r>
          </w:p>
          <w:p>
            <w:pPr>
              <w:spacing w:after="0" w:line="252" w:lineRule="auto"/>
            </w:pPr>
            <w:r>
              <w:t>Dear Editorial Office,</w:t>
              <w:br/>
              <w:br/>
              <w:t>We are preparing a scoped computational manuscript on DEE Universe v24, a deterministic three-dimensional digital-dynamics engine. The paper documents finite-horizon persistent structures, period-2 regimes, directed propagation, geometric state creation, automated taxonomy, 98 controlled interactions, 12 digital-ballistics comparisons and preserved negative results.</w:t>
              <w:br/>
              <w:br/>
              <w:t>The manuscript does not claim validated fundamental physics. It presents an executable computational system and separates observed behavior from informational interpretation and physical hypothesis. The protected kernel can be evaluated through a signed binary, public API, hashes, selected scripts and a controlled replication protocol.</w:t>
              <w:br/>
              <w:br/>
              <w:t>Proposed title: “Taxonomy and dynamics of emergent structures in a deterministic three-dimensional cellular system with internal state.”</w:t>
              <w:br/>
              <w:br/>
              <w:t>Would this scope be suitable for [JOURNAL / SECTION], and does the venue permit a proprietary kernel when every reported behavioral claim is reproducible through a controlled black-box package?</w:t>
              <w:br/>
              <w:br/>
              <w:t>Website: [WEBSITE]</w:t>
              <w:br/>
              <w:br/>
              <w:t>Sincerely,</w:t>
              <w:br/>
              <w:t>[CORRESPONDING AUTHOR]</w:t>
              <w:br/>
              <w:t>[AFFILIATION]</w:t>
              <w:br/>
              <w:t>[EMAIL]</w:t>
            </w:r>
          </w:p>
        </w:tc>
      </w:tr>
    </w:tbl>
    <w:p>
      <w:pPr>
        <w:spacing w:after="0"/>
      </w:pPr>
    </w:p>
    <w:p>
      <w:pPr>
        <w:pStyle w:val="Heading1"/>
      </w:pPr>
      <w:r>
        <w:t>4. English follow-up</w:t>
      </w:r>
    </w:p>
    <w:tbl>
      <w:tblPr>
        <w:tblW w:type="auto" w:w="0"/>
        <w:jc w:val="left"/>
        <w:tblLook w:firstColumn="1" w:firstRow="1" w:lastColumn="0" w:lastRow="0" w:noHBand="0" w:noVBand="1" w:val="04A0"/>
      </w:tblPr>
      <w:tblGrid>
        <w:gridCol w:w="9994"/>
      </w:tblGrid>
      <w:tr>
        <w:tc>
          <w:tcPr>
            <w:tcW w:type="dxa" w:w="9994"/>
            <w:shd w:fill="F8EBDD"/>
            <w:tcMar>
              <w:top w:w="160" w:type="dxa"/>
              <w:start w:w="180" w:type="dxa"/>
              <w:bottom w:w="160" w:type="dxa"/>
              <w:end w:w="180" w:type="dxa"/>
            </w:tcMar>
          </w:tcPr>
          <w:p>
            <w:pPr>
              <w:spacing w:after="80"/>
            </w:pPr>
            <w:r/>
            <w:r>
              <w:rPr>
                <w:b/>
                <w:color w:val="C96A18"/>
                <w:sz w:val="22"/>
              </w:rPr>
              <w:t>FOLLOW-UP</w:t>
            </w:r>
          </w:p>
          <w:p>
            <w:pPr>
              <w:spacing w:after="0" w:line="252" w:lineRule="auto"/>
            </w:pPr>
            <w:r>
              <w:t>Dear Editorial Office, I am following up on a brief submission-fit inquiry for a computational paper on reproducible emergent structures and reaction dynamics in a deterministic 3D system. A one-line indication of fit, article type or more appropriate section would be extremely helpful.</w:t>
            </w:r>
          </w:p>
        </w:tc>
      </w:tr>
    </w:tbl>
    <w:p>
      <w:pPr>
        <w:spacing w:after="0"/>
      </w:pPr>
    </w:p>
    <w:p>
      <w:pPr>
        <w:pStyle w:val="Heading1"/>
      </w:pPr>
      <w:r>
        <w:t>5. Asuntos en español</w:t>
      </w:r>
    </w:p>
    <w:p>
      <w:pPr>
        <w:pStyle w:val="ListBullet"/>
        <w:spacing w:after="40"/>
      </w:pPr>
      <w:r>
        <w:t>Consulta editorial — estructuras emergentes reproducibles en un sistema 3D determinista</w:t>
      </w:r>
    </w:p>
    <w:p>
      <w:pPr>
        <w:pStyle w:val="ListBullet"/>
        <w:spacing w:after="40"/>
      </w:pPr>
      <w:r>
        <w:t>Adecuación de manuscrito: taxonomía, reacciones y materiales digitales en DEE v24</w:t>
      </w:r>
    </w:p>
    <w:p>
      <w:pPr>
        <w:pStyle w:val="ListBullet"/>
        <w:spacing w:after="40"/>
      </w:pPr>
      <w:r>
        <w:t>Kernel propietario y afirmaciones reproducibles — consulta de publicación</w:t>
      </w:r>
    </w:p>
    <w:p>
      <w:pPr>
        <w:pStyle w:val="Heading1"/>
      </w:pPr>
      <w:r>
        <w:t>6. Correo en español — listo para personalizar</w:t>
      </w:r>
    </w:p>
    <w:tbl>
      <w:tblPr>
        <w:tblW w:type="auto" w:w="0"/>
        <w:jc w:val="left"/>
        <w:tblLook w:firstColumn="1" w:firstRow="1" w:lastColumn="0" w:lastRow="0" w:noHBand="0" w:noVBand="1" w:val="04A0"/>
      </w:tblPr>
      <w:tblGrid>
        <w:gridCol w:w="9994"/>
      </w:tblGrid>
      <w:tr>
        <w:tc>
          <w:tcPr>
            <w:tcW w:type="dxa" w:w="9994"/>
            <w:shd w:fill="D9F3F6"/>
            <w:tcMar>
              <w:top w:w="160" w:type="dxa"/>
              <w:start w:w="180" w:type="dxa"/>
              <w:bottom w:w="160" w:type="dxa"/>
              <w:end w:w="180" w:type="dxa"/>
            </w:tcMar>
          </w:tcPr>
          <w:p>
            <w:pPr>
              <w:spacing w:after="80"/>
            </w:pPr>
            <w:r/>
            <w:r>
              <w:rPr>
                <w:b/>
                <w:color w:val="0B7285"/>
                <w:sz w:val="22"/>
              </w:rPr>
              <w:t>CORREO</w:t>
            </w:r>
          </w:p>
          <w:p>
            <w:pPr>
              <w:spacing w:after="0" w:line="252" w:lineRule="auto"/>
            </w:pPr>
            <w:r>
              <w:t>Estimado equipo editorial:</w:t>
              <w:br/>
              <w:br/>
              <w:t>Se prepara un manuscrito computacional acotado sobre DEE Universe v24, un motor tridimensional determinista de dinámica digital. El artículo documenta estructuras persistentes en horizontes finitos, regímenes de periodo 2, propagación dirigida, génesis geométrica de estados, taxonomía automática, 98 interacciones controladas, 12 comparaciones balísticas digitales y resultados negativos preservados.</w:t>
              <w:br/>
              <w:br/>
              <w:t>El manuscrito no afirma física fundamental validada. Presenta un sistema computacional ejecutable y separa comportamiento observado, interpretación informacional e hipótesis física. El kernel protegido puede evaluarse mediante binario firmado, API pública, hashes, scripts seleccionados y protocolo controlado de réplica.</w:t>
              <w:br/>
              <w:br/>
              <w:t>Título propuesto: “Taxonomía y dinámica de estructuras emergentes en un sistema celular tridimensional determinista con estado interno”.</w:t>
              <w:br/>
              <w:br/>
              <w:t>¿Este alcance sería adecuado para [REVISTA / SECCIÓN] y permite la revista un kernel propietario cuando cada afirmación conductual puede reproducirse mediante un paquete controlado de caja negra?</w:t>
              <w:br/>
              <w:br/>
              <w:t>Sitio web: [SITIO WEB]</w:t>
              <w:br/>
              <w:br/>
              <w:t>Atentamente,</w:t>
              <w:br/>
              <w:t>[AUTOR CORRESPONSAL]</w:t>
              <w:br/>
              <w:t>[AFILIACIÓN]</w:t>
              <w:br/>
              <w:t>[CORREO]</w:t>
            </w:r>
          </w:p>
        </w:tc>
      </w:tr>
    </w:tbl>
    <w:p>
      <w:pPr>
        <w:spacing w:after="0"/>
      </w:pPr>
    </w:p>
    <w:p>
      <w:pPr>
        <w:pStyle w:val="Heading1"/>
      </w:pPr>
      <w:r>
        <w:t>7. Seguimiento en español</w:t>
      </w:r>
    </w:p>
    <w:tbl>
      <w:tblPr>
        <w:tblW w:type="auto" w:w="0"/>
        <w:jc w:val="left"/>
        <w:tblLook w:firstColumn="1" w:firstRow="1" w:lastColumn="0" w:lastRow="0" w:noHBand="0" w:noVBand="1" w:val="04A0"/>
      </w:tblPr>
      <w:tblGrid>
        <w:gridCol w:w="9994"/>
      </w:tblGrid>
      <w:tr>
        <w:tc>
          <w:tcPr>
            <w:tcW w:type="dxa" w:w="9994"/>
            <w:shd w:fill="F8EBDD"/>
            <w:tcMar>
              <w:top w:w="160" w:type="dxa"/>
              <w:start w:w="180" w:type="dxa"/>
              <w:bottom w:w="160" w:type="dxa"/>
              <w:end w:w="180" w:type="dxa"/>
            </w:tcMar>
          </w:tcPr>
          <w:p>
            <w:pPr>
              <w:spacing w:after="80"/>
            </w:pPr>
            <w:r/>
            <w:r>
              <w:rPr>
                <w:b/>
                <w:color w:val="C96A18"/>
                <w:sz w:val="22"/>
              </w:rPr>
              <w:t>SEGUIMIENTO</w:t>
            </w:r>
          </w:p>
          <w:p>
            <w:pPr>
              <w:spacing w:after="0" w:line="252" w:lineRule="auto"/>
            </w:pPr>
            <w:r>
              <w:t>Estimado equipo editorial: realizo seguimiento a una consulta breve de adecuación para un artículo computacional sobre estructuras emergentes y dinámica de reacciones reproducibles en un sistema 3D determinista. Sería muy útil una indicación breve sobre adecuación, tipo de artículo o sección más apropiada.</w:t>
            </w:r>
          </w:p>
        </w:tc>
      </w:tr>
    </w:tbl>
    <w:p>
      <w:pPr>
        <w:spacing w:after="0"/>
      </w:pPr>
    </w:p>
    <w:p>
      <w:pPr>
        <w:pStyle w:val="Heading1"/>
      </w:pPr>
      <w:r>
        <w:t>8. Tone audit</w:t>
      </w:r>
    </w:p>
    <w:p>
      <w:pPr>
        <w:pStyle w:val="ListBullet"/>
        <w:spacing w:after="40"/>
      </w:pPr>
      <w:r>
        <w:t>Bold: presents a functioning 3D computational ecology and the deeper informational-geometry hypothesis.</w:t>
      </w:r>
    </w:p>
    <w:p>
      <w:pPr>
        <w:pStyle w:val="ListBullet"/>
        <w:spacing w:after="40"/>
      </w:pPr>
      <w:r>
        <w:t>Disruptive: frames the system as a possible new research substrate for physics, AI, digital materials and unconventional computing.</w:t>
      </w:r>
    </w:p>
    <w:p>
      <w:pPr>
        <w:pStyle w:val="ListBullet"/>
        <w:spacing w:after="40"/>
      </w:pPr>
      <w:r>
        <w:t>Conservative: asks for testing, routing, a pilot or diligence—not endorsement.</w:t>
      </w:r>
    </w:p>
    <w:p>
      <w:pPr>
        <w:pStyle w:val="ListBullet"/>
        <w:spacing w:after="40"/>
      </w:pPr>
      <w:r>
        <w:t>Auditable: every public metric must remain traceable to the audited v24 corpus.</w:t>
      </w:r>
    </w:p>
    <w:p>
      <w:pPr>
        <w:pStyle w:val="ListBullet"/>
        <w:spacing w:after="40"/>
      </w:pPr>
      <w:r>
        <w:t>Protected: the first contact discloses outputs and scope, not reconstruction details.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6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B728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B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