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BOLDNESS, RIGOR AND DISCLOSURE AUDIT</w:t>
      </w:r>
    </w:p>
    <w:p>
      <w:r>
        <w:rPr>
          <w:b/>
          <w:color w:val="123B5D"/>
          <w:sz w:val="26"/>
        </w:rPr>
        <w:t>Final messaging gate for all bilingual outreach materials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Project author, legal/IP advisors and technical reviewers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AUDIT VERDICT</w:t>
            </w:r>
          </w:p>
          <w:p>
            <w:pPr>
              <w:spacing w:after="0" w:line="252" w:lineRule="auto"/>
            </w:pPr>
            <w:r>
              <w:t>The package is sufficiently audacious to create attention and sufficiently conservative to withstand technical scrutiny. It presents DEE as a functioning computational system and a potentially disruptive research substrate, while reserving “validated new physics,” “Turing complete,” “physical energy” and “state-of-the-art superiority” for future proof.</w:t>
            </w:r>
          </w:p>
        </w:tc>
      </w:tr>
    </w:tbl>
    <w:p>
      <w:pPr>
        <w:spacing w:after="0"/>
      </w:pPr>
    </w:p>
    <w:p>
      <w:pPr>
        <w:pStyle w:val="Heading1"/>
      </w:pPr>
      <w:r>
        <w:t>1. Approved high-impact statements</w:t>
      </w:r>
    </w:p>
    <w:p>
      <w:pPr>
        <w:pStyle w:val="ListBullet"/>
        <w:spacing w:after="40"/>
      </w:pPr>
      <w:r>
        <w:t>One protected generative dynamics has produced multiple reproducible classes of 3D computational behavior.</w:t>
      </w:r>
    </w:p>
    <w:p>
      <w:pPr>
        <w:pStyle w:val="ListBullet"/>
        <w:spacing w:after="40"/>
      </w:pPr>
      <w:r>
        <w:t>DEE already has real computational value because its behaviors were executed, measured and preserved.</w:t>
      </w:r>
    </w:p>
    <w:p>
      <w:pPr>
        <w:pStyle w:val="ListBullet"/>
        <w:spacing w:after="40"/>
      </w:pPr>
      <w:r>
        <w:t>DEE may imitate a deeper geometric-informational layer of reality; this remains a falsifiable hypothesis.</w:t>
      </w:r>
    </w:p>
    <w:p>
      <w:pPr>
        <w:pStyle w:val="ListBullet"/>
        <w:spacing w:after="40"/>
      </w:pPr>
      <w:r>
        <w:t>The system may become a new research substrate for AI world models, digital materials and unconventional computation.</w:t>
      </w:r>
    </w:p>
    <w:p>
      <w:pPr>
        <w:pStyle w:val="ListBullet"/>
        <w:spacing w:after="40"/>
      </w:pPr>
      <w:r>
        <w:t>Do not accept the hypothesis—attempt to falsify it.</w:t>
      </w:r>
    </w:p>
    <w:p>
      <w:pPr>
        <w:pStyle w:val="ListBullet"/>
        <w:spacing w:after="40"/>
      </w:pPr>
      <w:r>
        <w:t>Fund the test, not the conclusion.</w:t>
      </w:r>
    </w:p>
    <w:p>
      <w:pPr>
        <w:pStyle w:val="Heading1"/>
      </w:pPr>
      <w:r>
        <w:t>2. Conditional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168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691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Potentially disruptive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Use only when followed by the need for comparative benchmarks and application proof.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Candidate for new physics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Use only as a research program or hypothesis, not as validated natural law.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Primitives for universal computation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State that candidates exist separately and composability/Turing completeness remain open.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Digital materials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Always specify that these are materials inside DEE unless a physical mapping is established.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Periodic table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Describe as an operational atlas of digital species; physical correspondence remains hypothetical.</w:t>
            </w:r>
          </w:p>
        </w:tc>
      </w:tr>
    </w:tbl>
    <w:p>
      <w:pPr>
        <w:spacing w:after="0"/>
      </w:pPr>
    </w:p>
    <w:p>
      <w:pPr>
        <w:pStyle w:val="Heading1"/>
      </w:pPr>
      <w:r>
        <w:t>3. Statements prohibited until new evidence exists</w:t>
      </w:r>
    </w:p>
    <w:p>
      <w:pPr>
        <w:pStyle w:val="ListBullet"/>
        <w:spacing w:after="40"/>
      </w:pPr>
      <w:r>
        <w:t>DEE has proven the fundamental physics of the universe.</w:t>
      </w:r>
    </w:p>
    <w:p>
      <w:pPr>
        <w:pStyle w:val="ListBullet"/>
        <w:spacing w:after="40"/>
      </w:pPr>
      <w:r>
        <w:t>DEE is Turing complete.</w:t>
      </w:r>
    </w:p>
    <w:p>
      <w:pPr>
        <w:pStyle w:val="ListBullet"/>
        <w:spacing w:after="40"/>
      </w:pPr>
      <w:r>
        <w:t>DEE extracts physical energy from the vacuum.</w:t>
      </w:r>
    </w:p>
    <w:p>
      <w:pPr>
        <w:pStyle w:val="ListBullet"/>
        <w:spacing w:after="40"/>
      </w:pPr>
      <w:r>
        <w:t>DEE reproduces quantum mechanics, relativity or the Standard Model.</w:t>
      </w:r>
    </w:p>
    <w:p>
      <w:pPr>
        <w:pStyle w:val="ListBullet"/>
        <w:spacing w:after="40"/>
      </w:pPr>
      <w:r>
        <w:t>DEE is superior to the state of the art without matched benchmarks.</w:t>
      </w:r>
    </w:p>
    <w:p>
      <w:pPr>
        <w:pStyle w:val="ListBullet"/>
        <w:spacing w:after="40"/>
      </w:pPr>
      <w:r>
        <w:t>Any finite-horizon structure is eternal, indestructible or infinitely stable.</w:t>
      </w:r>
    </w:p>
    <w:p>
      <w:pPr>
        <w:pStyle w:val="Heading1"/>
      </w:pPr>
      <w:r>
        <w:t>4. Disclosure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31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Public</w:t>
            </w:r>
          </w:p>
        </w:tc>
        <w:tc>
          <w:tcPr>
            <w:tcW w:type="dxa" w:w="331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Controlled evaluation</w:t>
            </w:r>
          </w:p>
        </w:tc>
        <w:tc>
          <w:tcPr>
            <w:tcW w:type="dxa" w:w="331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Protected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Selected output metrics, conceptual animations, six representative species, three experiments, claim boundaries.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Signed wheel, authorized scripts, selected logs, datasets, evaluation protocol and expanded telemetry.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Source code, exact derivation, internal constants, transition rules, exhaustive tensors, complete reaction matrix and reconstruction procedures.</w:t>
            </w:r>
          </w:p>
        </w:tc>
      </w:tr>
    </w:tbl>
    <w:p>
      <w:pPr>
        <w:spacing w:after="0"/>
      </w:pPr>
    </w:p>
    <w:p>
      <w:pPr>
        <w:pStyle w:val="Heading1"/>
      </w:pPr>
      <w:r>
        <w:t>5. Spanish audit conclusion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DICTAMEN</w:t>
            </w:r>
          </w:p>
          <w:p>
            <w:pPr>
              <w:spacing w:after="0" w:line="252" w:lineRule="auto"/>
            </w:pPr>
            <w:r>
              <w:t>El paquete es suficientemente audaz para llamar la atención y suficientemente conservador para soportar una revisión técnica. Presenta a DEE como un sistema computacional funcional y un posible sustrato disruptivo de investigación. Mantiene como objetivos pendientes —no como hechos— la nueva física validada, la completitud de Turing, la energía física y la superioridad frente al estado del arte.</w:t>
            </w:r>
          </w:p>
        </w:tc>
      </w:tr>
    </w:tbl>
    <w:p>
      <w:pPr>
        <w:spacing w:after="0"/>
      </w:pPr>
    </w:p>
    <w:p>
      <w:pPr>
        <w:pStyle w:val="Heading1"/>
      </w:pPr>
      <w:r>
        <w:t>6. Final send gate</w:t>
      </w:r>
    </w:p>
    <w:p>
      <w:pPr>
        <w:pStyle w:val="ListBullet"/>
        <w:spacing w:after="40"/>
      </w:pPr>
      <w:r>
        <w:t>Every public number must be traceable to the audited v24 corpus.</w:t>
      </w:r>
    </w:p>
    <w:p>
      <w:pPr>
        <w:pStyle w:val="ListBullet"/>
        <w:spacing w:after="40"/>
      </w:pPr>
      <w:r>
        <w:t>Every physical term must be marked as interpretation or hypothesis.</w:t>
      </w:r>
    </w:p>
    <w:p>
      <w:pPr>
        <w:pStyle w:val="ListBullet"/>
        <w:spacing w:after="40"/>
      </w:pPr>
      <w:r>
        <w:t>Every email must ask for one action only.</w:t>
      </w:r>
    </w:p>
    <w:p>
      <w:pPr>
        <w:pStyle w:val="ListBullet"/>
        <w:spacing w:after="40"/>
      </w:pPr>
      <w:r>
        <w:t>Every recipient restriction in the directory must be respected.</w:t>
      </w:r>
    </w:p>
    <w:p>
      <w:pPr>
        <w:pStyle w:val="ListBullet"/>
        <w:spacing w:after="40"/>
      </w:pPr>
      <w:r>
        <w:t>Contact addresses must be rechecked against their official source before sending.</w:t>
      </w:r>
    </w:p>
    <w:p>
      <w:pPr>
        <w:pStyle w:val="ListBullet"/>
        <w:spacing w:after="40"/>
      </w:pPr>
      <w:r>
        <w:t>No first-contact attachment may expose reconstruction details.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