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ESCUELA SUPERIOR DE ADMINISTRACIÓN PÚBLICA — ESAP</w:t>
      </w:r>
    </w:p>
    <w:p>
      <w:pPr>
        <w:spacing w:after="60"/>
        <w:jc w:val="center"/>
      </w:pPr>
      <w:r>
        <w:rPr>
          <w:b/>
          <w:bCs/>
          <w:color w:val="595959"/>
          <w:sz w:val="20"/>
          <w:szCs w:val="20"/>
        </w:rPr>
        <w:t xml:space="preserve">COMITÉ DE CONCILIACIÓN</w:t>
      </w:r>
    </w:p>
    <w:p>
      <w:pPr>
        <w:spacing w:after="100"/>
        <w:jc w:val="center"/>
      </w:pPr>
      <w:r>
        <w:rPr>
          <w:b/>
          <w:bCs/>
          <w:color w:val="1F3864"/>
          <w:sz w:val="34"/>
          <w:szCs w:val="34"/>
        </w:rPr>
        <w:t xml:space="preserve">FICHA TÉCNICA Y PROPUESTA DE DECISIÓN</w:t>
      </w:r>
    </w:p>
    <w:p>
      <w:pPr>
        <w:spacing w:after="200"/>
        <w:jc w:val="center"/>
      </w:pPr>
      <w:r>
        <w:rPr>
          <w:color w:val="000000"/>
          <w:sz w:val="21"/>
          <w:szCs w:val="21"/>
        </w:rPr>
        <w:t xml:space="preserve">Reconocimiento económico a los jurados externos que intervinieron en las pruebas del Concurso Público de Méritos para la provisión de treinta y cinco (35) cargos de la planta de personal docente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2100"/>
        <w:gridCol w:w="7260"/>
      </w:tblGrid>
      <w:tr>
        <w:trPr>
          <w:tblHeader/>
        </w:trPr>
        <w:tc>
          <w:tcPr>
            <w:tcW w:type="dxa" w:w="21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Campo</w:t>
            </w:r>
          </w:p>
        </w:tc>
        <w:tc>
          <w:tcPr>
            <w:tcW w:type="dxa" w:w="72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Contenido</w:t>
            </w:r>
          </w:p>
        </w:tc>
      </w:tr>
      <w:tr>
        <w:trPr>
          <w:tblHeader w:val="false"/>
        </w:trPr>
        <w:tc>
          <w:tcPr>
            <w:tcW w:type="dxa" w:w="2100"/>
            <w:tcMar>
              <w:top w:type="dxa" w:w="80"/>
              <w:left w:type="dxa" w:w="110"/>
              <w:bottom w:type="dxa" w:w="80"/>
              <w:right w:type="dxa" w:w="110"/>
            </w:tcMar>
            <w:vAlign w:val="center"/>
          </w:tcPr>
          <w:p>
            <w:pPr>
              <w:spacing w:after="40" w:line="250"/>
              <w:jc w:val="left"/>
            </w:pPr>
            <w:r>
              <w:rPr>
                <w:sz w:val="18"/>
                <w:szCs w:val="18"/>
              </w:rPr>
              <w:t xml:space="preserve">Convocante(s)</w:t>
            </w:r>
          </w:p>
        </w:tc>
        <w:tc>
          <w:tcPr>
            <w:tcW w:type="dxa" w:w="7260"/>
            <w:tcMar>
              <w:top w:type="dxa" w:w="80"/>
              <w:left w:type="dxa" w:w="110"/>
              <w:bottom w:type="dxa" w:w="80"/>
              <w:right w:type="dxa" w:w="110"/>
            </w:tcMar>
            <w:vAlign w:val="center"/>
          </w:tcPr>
          <w:p>
            <w:pPr>
              <w:spacing w:after="40" w:line="250"/>
              <w:jc w:val="left"/>
            </w:pPr>
            <w:r>
              <w:rPr>
                <w:sz w:val="18"/>
                <w:szCs w:val="18"/>
              </w:rPr>
              <w:t xml:space="preserve">Jurados externos que integraron los tribunales de evaluación del concurso. </w:t>
            </w:r>
            <w:r>
              <w:rPr>
                <w:b/>
                <w:bCs/>
                <w:sz w:val="18"/>
                <w:szCs w:val="18"/>
              </w:rPr>
              <w:t xml:space="preserve">[Completar: número de jurados y relación nominal — Anexo 1.]</w:t>
            </w:r>
          </w:p>
        </w:tc>
      </w:tr>
      <w:tr>
        <w:trPr>
          <w:tblHeader w:val="false"/>
        </w:trPr>
        <w:tc>
          <w:tcPr>
            <w:tcW w:type="dxa" w:w="2100"/>
            <w:shd w:fill="F2F4F8" w:color="auto" w:val="clear"/>
            <w:tcMar>
              <w:top w:type="dxa" w:w="80"/>
              <w:left w:type="dxa" w:w="110"/>
              <w:bottom w:type="dxa" w:w="80"/>
              <w:right w:type="dxa" w:w="110"/>
            </w:tcMar>
            <w:vAlign w:val="center"/>
          </w:tcPr>
          <w:p>
            <w:pPr>
              <w:spacing w:after="40" w:line="250"/>
              <w:jc w:val="left"/>
            </w:pPr>
            <w:r>
              <w:rPr>
                <w:sz w:val="18"/>
                <w:szCs w:val="18"/>
              </w:rPr>
              <w:t xml:space="preserve">Convocada</w:t>
            </w:r>
          </w:p>
        </w:tc>
        <w:tc>
          <w:tcPr>
            <w:tcW w:type="dxa" w:w="7260"/>
            <w:shd w:fill="F2F4F8" w:color="auto" w:val="clear"/>
            <w:tcMar>
              <w:top w:type="dxa" w:w="80"/>
              <w:left w:type="dxa" w:w="110"/>
              <w:bottom w:type="dxa" w:w="80"/>
              <w:right w:type="dxa" w:w="110"/>
            </w:tcMar>
            <w:vAlign w:val="center"/>
          </w:tcPr>
          <w:p>
            <w:pPr>
              <w:spacing w:after="40" w:line="250"/>
              <w:jc w:val="left"/>
            </w:pPr>
            <w:r>
              <w:rPr>
                <w:sz w:val="18"/>
                <w:szCs w:val="18"/>
              </w:rPr>
              <w:t xml:space="preserve">Escuela Superior de Administración Pública — ESAP. Establecimiento público del orden nacional, de carácter universitario, adscrito al Departamento Administrativo de la Función Pública (Decreto 219 de 2004).</w:t>
            </w:r>
          </w:p>
        </w:tc>
      </w:tr>
      <w:tr>
        <w:trPr>
          <w:tblHeader w:val="false"/>
        </w:trPr>
        <w:tc>
          <w:tcPr>
            <w:tcW w:type="dxa" w:w="2100"/>
            <w:tcMar>
              <w:top w:type="dxa" w:w="80"/>
              <w:left w:type="dxa" w:w="110"/>
              <w:bottom w:type="dxa" w:w="80"/>
              <w:right w:type="dxa" w:w="110"/>
            </w:tcMar>
            <w:vAlign w:val="center"/>
          </w:tcPr>
          <w:p>
            <w:pPr>
              <w:spacing w:after="40" w:line="250"/>
              <w:jc w:val="left"/>
            </w:pPr>
            <w:r>
              <w:rPr>
                <w:sz w:val="18"/>
                <w:szCs w:val="18"/>
              </w:rPr>
              <w:t xml:space="preserve">Actuación</w:t>
            </w:r>
          </w:p>
        </w:tc>
        <w:tc>
          <w:tcPr>
            <w:tcW w:type="dxa" w:w="7260"/>
            <w:tcMar>
              <w:top w:type="dxa" w:w="80"/>
              <w:left w:type="dxa" w:w="110"/>
              <w:bottom w:type="dxa" w:w="80"/>
              <w:right w:type="dxa" w:w="110"/>
            </w:tcMar>
            <w:vAlign w:val="center"/>
          </w:tcPr>
          <w:p>
            <w:pPr>
              <w:spacing w:after="40" w:line="250"/>
              <w:jc w:val="left"/>
            </w:pPr>
            <w:r>
              <w:rPr>
                <w:sz w:val="18"/>
                <w:szCs w:val="18"/>
              </w:rPr>
              <w:t xml:space="preserve">Convocatoria: Resolución SC-1935 de 2025. Modificación de cronograma: Resolución SC-155 de 2026.</w:t>
            </w:r>
          </w:p>
        </w:tc>
      </w:tr>
      <w:tr>
        <w:trPr>
          <w:tblHeader w:val="false"/>
        </w:trPr>
        <w:tc>
          <w:tcPr>
            <w:tcW w:type="dxa" w:w="2100"/>
            <w:shd w:fill="F2F4F8" w:color="auto" w:val="clear"/>
            <w:tcMar>
              <w:top w:type="dxa" w:w="80"/>
              <w:left w:type="dxa" w:w="110"/>
              <w:bottom w:type="dxa" w:w="80"/>
              <w:right w:type="dxa" w:w="110"/>
            </w:tcMar>
            <w:vAlign w:val="center"/>
          </w:tcPr>
          <w:p>
            <w:pPr>
              <w:spacing w:after="40" w:line="250"/>
              <w:jc w:val="left"/>
            </w:pPr>
            <w:r>
              <w:rPr>
                <w:sz w:val="18"/>
                <w:szCs w:val="18"/>
              </w:rPr>
              <w:t xml:space="preserve">Título jurídico propuesto</w:t>
            </w:r>
          </w:p>
        </w:tc>
        <w:tc>
          <w:tcPr>
            <w:tcW w:type="dxa" w:w="7260"/>
            <w:shd w:fill="F2F4F8" w:color="auto" w:val="clear"/>
            <w:tcMar>
              <w:top w:type="dxa" w:w="80"/>
              <w:left w:type="dxa" w:w="110"/>
              <w:bottom w:type="dxa" w:w="80"/>
              <w:right w:type="dxa" w:w="110"/>
            </w:tcMar>
            <w:vAlign w:val="center"/>
          </w:tcPr>
          <w:p>
            <w:pPr>
              <w:spacing w:after="40" w:line="250"/>
              <w:jc w:val="left"/>
            </w:pPr>
            <w:r>
              <w:rPr>
                <w:sz w:val="18"/>
                <w:szCs w:val="18"/>
              </w:rPr>
              <w:t xml:space="preserve">Enriquecimiento sin justa causa — compensación (no indemnización, no honorarios, no salario).</w:t>
            </w:r>
          </w:p>
        </w:tc>
      </w:tr>
      <w:tr>
        <w:trPr>
          <w:tblHeader w:val="false"/>
        </w:trPr>
        <w:tc>
          <w:tcPr>
            <w:tcW w:type="dxa" w:w="2100"/>
            <w:tcMar>
              <w:top w:type="dxa" w:w="80"/>
              <w:left w:type="dxa" w:w="110"/>
              <w:bottom w:type="dxa" w:w="80"/>
              <w:right w:type="dxa" w:w="110"/>
            </w:tcMar>
            <w:vAlign w:val="center"/>
          </w:tcPr>
          <w:p>
            <w:pPr>
              <w:spacing w:after="40" w:line="250"/>
              <w:jc w:val="left"/>
            </w:pPr>
            <w:r>
              <w:rPr>
                <w:sz w:val="18"/>
                <w:szCs w:val="18"/>
              </w:rPr>
              <w:t xml:space="preserve">Medio de control eventual</w:t>
            </w:r>
          </w:p>
        </w:tc>
        <w:tc>
          <w:tcPr>
            <w:tcW w:type="dxa" w:w="7260"/>
            <w:tcMar>
              <w:top w:type="dxa" w:w="80"/>
              <w:left w:type="dxa" w:w="110"/>
              <w:bottom w:type="dxa" w:w="80"/>
              <w:right w:type="dxa" w:w="110"/>
            </w:tcMar>
            <w:vAlign w:val="center"/>
          </w:tcPr>
          <w:p>
            <w:pPr>
              <w:spacing w:after="40" w:line="250"/>
              <w:jc w:val="left"/>
            </w:pPr>
            <w:r>
              <w:rPr>
                <w:sz w:val="18"/>
                <w:szCs w:val="18"/>
              </w:rPr>
              <w:t xml:space="preserve">Reparación directa (artículo 140 del CPACA).</w:t>
            </w:r>
          </w:p>
        </w:tc>
      </w:tr>
      <w:tr>
        <w:trPr>
          <w:tblHeader w:val="false"/>
        </w:trPr>
        <w:tc>
          <w:tcPr>
            <w:tcW w:type="dxa" w:w="2100"/>
            <w:shd w:fill="F2F4F8" w:color="auto" w:val="clear"/>
            <w:tcMar>
              <w:top w:type="dxa" w:w="80"/>
              <w:left w:type="dxa" w:w="110"/>
              <w:bottom w:type="dxa" w:w="80"/>
              <w:right w:type="dxa" w:w="110"/>
            </w:tcMar>
            <w:vAlign w:val="center"/>
          </w:tcPr>
          <w:p>
            <w:pPr>
              <w:spacing w:after="40" w:line="250"/>
              <w:jc w:val="left"/>
            </w:pPr>
            <w:r>
              <w:rPr>
                <w:sz w:val="18"/>
                <w:szCs w:val="18"/>
              </w:rPr>
              <w:t xml:space="preserve">Cuantía estimada</w:t>
            </w:r>
          </w:p>
        </w:tc>
        <w:tc>
          <w:tcPr>
            <w:tcW w:type="dxa" w:w="72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[Completar con la metodología de la sección 8.]</w:t>
            </w:r>
          </w:p>
        </w:tc>
      </w:tr>
      <w:tr>
        <w:trPr>
          <w:tblHeader w:val="false"/>
        </w:trPr>
        <w:tc>
          <w:tcPr>
            <w:tcW w:type="dxa" w:w="2100"/>
            <w:tcMar>
              <w:top w:type="dxa" w:w="80"/>
              <w:left w:type="dxa" w:w="110"/>
              <w:bottom w:type="dxa" w:w="80"/>
              <w:right w:type="dxa" w:w="110"/>
            </w:tcMar>
            <w:vAlign w:val="center"/>
          </w:tcPr>
          <w:p>
            <w:pPr>
              <w:spacing w:after="40" w:line="250"/>
              <w:jc w:val="left"/>
            </w:pPr>
            <w:r>
              <w:rPr>
                <w:sz w:val="18"/>
                <w:szCs w:val="18"/>
              </w:rPr>
              <w:t xml:space="preserve">Sentido de la recomendación</w:t>
            </w:r>
          </w:p>
        </w:tc>
        <w:tc>
          <w:tcPr>
            <w:tcW w:type="dxa" w:w="7260"/>
            <w:tcMar>
              <w:top w:type="dxa" w:w="80"/>
              <w:left w:type="dxa" w:w="110"/>
              <w:bottom w:type="dxa" w:w="80"/>
              <w:right w:type="dxa" w:w="110"/>
            </w:tcMar>
            <w:vAlign w:val="center"/>
          </w:tcPr>
          <w:p>
            <w:pPr>
              <w:spacing w:after="40" w:line="250"/>
              <w:jc w:val="left"/>
            </w:pPr>
            <w:r>
              <w:rPr>
                <w:b/>
                <w:bCs/>
                <w:sz w:val="18"/>
                <w:szCs w:val="18"/>
              </w:rPr>
              <w:t xml:space="preserve">CONCILIAR</w:t>
            </w:r>
            <w:r>
              <w:rPr>
                <w:sz w:val="18"/>
                <w:szCs w:val="18"/>
              </w:rPr>
              <w:t xml:space="preserve"> (fórmula conciliatoria en los términos de la sección 8).</w:t>
            </w:r>
          </w:p>
        </w:tc>
      </w:tr>
      <w:tr>
        <w:trPr>
          <w:tblHeader w:val="false"/>
        </w:trPr>
        <w:tc>
          <w:tcPr>
            <w:tcW w:type="dxa" w:w="2100"/>
            <w:shd w:fill="F2F4F8" w:color="auto" w:val="clear"/>
            <w:tcMar>
              <w:top w:type="dxa" w:w="80"/>
              <w:left w:type="dxa" w:w="110"/>
              <w:bottom w:type="dxa" w:w="80"/>
              <w:right w:type="dxa" w:w="110"/>
            </w:tcMar>
            <w:vAlign w:val="center"/>
          </w:tcPr>
          <w:p>
            <w:pPr>
              <w:spacing w:after="40" w:line="250"/>
              <w:jc w:val="left"/>
            </w:pPr>
            <w:r>
              <w:rPr>
                <w:sz w:val="18"/>
                <w:szCs w:val="18"/>
              </w:rPr>
              <w:t xml:space="preserve">Reserva</w:t>
            </w:r>
          </w:p>
        </w:tc>
        <w:tc>
          <w:tcPr>
            <w:tcW w:type="dxa" w:w="7260"/>
            <w:shd w:fill="F2F4F8" w:color="auto" w:val="clear"/>
            <w:tcMar>
              <w:top w:type="dxa" w:w="80"/>
              <w:left w:type="dxa" w:w="110"/>
              <w:bottom w:type="dxa" w:w="80"/>
              <w:right w:type="dxa" w:w="110"/>
            </w:tcMar>
            <w:vAlign w:val="center"/>
          </w:tcPr>
          <w:p>
            <w:pPr>
              <w:spacing w:after="40" w:line="250"/>
              <w:jc w:val="left"/>
            </w:pPr>
            <w:r>
              <w:rPr>
                <w:sz w:val="18"/>
                <w:szCs w:val="18"/>
              </w:rPr>
              <w:t xml:space="preserve">Documento de trabajo del Comité. Si la decisión final fuese la de no conciliar y ello revelara la estrategia de defensa, el documento queda amparado por el artículo 129 de la Ley 2220 de 2022, sin que la reserva sea oponible al agente del Ministerio Público.</w:t>
            </w:r>
          </w:p>
        </w:tc>
      </w:tr>
    </w:tbl>
    <w:p>
      <w:pPr>
        <w:spacing w:after="200"/>
      </w:pPr>
    </w:p>
    <w:tbl>
      <w:tblPr>
        <w:tblW w:type="dxa" w:w="9360"/>
        <w:tblBorders>
          <w:top w:val="single" w:color="1F3864" w:sz="6"/>
          <w:left w:val="single" w:color="1F3864" w:sz="6"/>
          <w:bottom w:val="single" w:color="1F3864" w:sz="6"/>
          <w:right w:val="single" w:color="1F3864" w:sz="6"/>
          <w:insideH w:val="none" w:color="auto" w:sz="0"/>
          <w:insideV w:val="none" w:color="auto" w:sz="0"/>
        </w:tblBorders>
        <w:tblLayout w:type="fixed"/>
      </w:tblPr>
      <w:tblGrid>
        <w:gridCol w:w="9360"/>
      </w:tblGrid>
      <w:tr>
        <w:tc>
          <w:tcPr>
            <w:tcW w:type="dxa" w:w="9360"/>
            <w:shd w:fill="EAF0F8" w:color="auto" w:val="clear"/>
            <w:tcMar>
              <w:top w:type="dxa" w:w="160"/>
              <w:left w:type="dxa" w:w="200"/>
              <w:bottom w:type="dxa" w:w="160"/>
              <w:right w:type="dxa" w:w="200"/>
            </w:tcMar>
          </w:tcPr>
          <w:p>
            <w:pPr>
              <w:spacing w:after="90"/>
            </w:pPr>
            <w:r>
              <w:rPr>
                <w:b/>
                <w:bCs/>
                <w:color w:val="1F3864"/>
                <w:sz w:val="21"/>
                <w:szCs w:val="21"/>
              </w:rPr>
              <w:t xml:space="preserve">Resumen ejecutivo</w:t>
            </w:r>
          </w:p>
          <w:p>
            <w:pPr>
              <w:spacing w:after="80" w:line="264"/>
              <w:jc w:val="both"/>
            </w:pPr>
            <w:r>
              <w:rPr>
                <w:b/>
                <w:bCs/>
                <w:sz w:val="20"/>
                <w:szCs w:val="20"/>
              </w:rPr>
              <w:t xml:space="preserve">1. La ESAP recibió un servicio, lo usó y no lo pagó.</w:t>
            </w:r>
            <w:r>
              <w:rPr>
                <w:sz w:val="20"/>
                <w:szCs w:val="20"/>
              </w:rPr>
              <w:t xml:space="preserve"> Los jurados externos fueron designados por la entidad mediante el correo oficial del concurso, capacitados por ella en dos sesiones, integraron los tribunales de evaluación, calificaron con las rúbricas institucionales y sus resultados fueron incorporados por la ESAP para fijar los puntajes y expedir resoluciones que hoy están en firme. No existe contrato, orden de servicio ni CDP.</w:t>
            </w:r>
          </w:p>
          <w:p>
            <w:pPr>
              <w:spacing w:after="80" w:line="264"/>
              <w:jc w:val="both"/>
            </w:pPr>
            <w:r>
              <w:rPr>
                <w:b/>
                <w:bCs/>
                <w:sz w:val="20"/>
                <w:szCs w:val="20"/>
              </w:rPr>
              <w:t xml:space="preserve">2. El marco jurisprudencial de análisis cambió en 2025 y la ficha de escenarios está desactualizada en ese punto.</w:t>
            </w:r>
            <w:r>
              <w:rPr>
                <w:sz w:val="20"/>
                <w:szCs w:val="20"/>
              </w:rPr>
              <w:t xml:space="preserve"> La sentencia de unificación del Consejo de Estado 2025CE-SUJ-3-001, del 31 de julio de 2025, eliminó la lista taxativa de tres causales que había fijado la unificación de 19 de noviembre de 2012 (exp. 24.897). Hoy ya no es necesario encajar el caso en «constreñimiento» ni en «urgencia manifiesta»: basta acreditar plenamente la actividad, una circunstancia extraordinaria de interés general y los cinco elementos sustantivos del enriquecimiento. La ausencia de constreñimiento, que la ficha registra como riesgo, dejó de ser un obstáculo.</w:t>
            </w:r>
          </w:p>
          <w:p>
            <w:pPr>
              <w:spacing w:after="80" w:line="264"/>
              <w:jc w:val="both"/>
            </w:pPr>
            <w:r>
              <w:rPr>
                <w:b/>
                <w:bCs/>
                <w:sz w:val="20"/>
                <w:szCs w:val="20"/>
              </w:rPr>
              <w:t xml:space="preserve">3. El riesgo mayor para la ESAP no es pagar: es que el juez califique el caso como falla del servicio.</w:t>
            </w:r>
            <w:r>
              <w:rPr>
                <w:sz w:val="20"/>
                <w:szCs w:val="20"/>
              </w:rPr>
              <w:t xml:space="preserve"> La misma unificación de 2025 ordena que, cuando el menoscabo provenga de una conducta antijurídica de la administración, el asunto se juzgue como responsabilidad extracontractual, caso en el cual la reparación «no se limita a la compensación» sino que habilita la </w:t>
            </w:r>
            <w:r>
              <w:rPr>
                <w:b/>
                <w:bCs/>
                <w:sz w:val="20"/>
                <w:szCs w:val="20"/>
              </w:rPr>
              <w:t xml:space="preserve">indemnización plena e integral</w:t>
            </w:r>
            <w:r>
              <w:rPr>
                <w:sz w:val="20"/>
                <w:szCs w:val="20"/>
              </w:rPr>
              <w:t xml:space="preserve">. Es decir: el argumento de que la ESAP sí podía y debía haber contratado —que es la principal objeción a la conciliación— es exactamente el que abre la puerta a la condena más costosa.</w:t>
            </w:r>
          </w:p>
          <w:p>
            <w:pPr>
              <w:spacing w:after="80" w:line="264"/>
              <w:jc w:val="both"/>
            </w:pPr>
            <w:r>
              <w:rPr>
                <w:b/>
                <w:bCs/>
                <w:sz w:val="20"/>
                <w:szCs w:val="20"/>
              </w:rPr>
              <w:t xml:space="preserve">4. La falta de CDP no impide decidir.</w:t>
            </w:r>
            <w:r>
              <w:rPr>
                <w:sz w:val="20"/>
                <w:szCs w:val="20"/>
              </w:rPr>
              <w:t xml:space="preserve"> El parágrafo 2 del artículo 115 de la Ley 2220 de 2022 dispone que la decisión del Comité sobre la viabilidad de conciliar «no requiere disponibilidad presupuestal, ni constituye ordenación de gasto».</w:t>
            </w:r>
          </w:p>
          <w:p>
            <w:pPr>
              <w:spacing w:after="80" w:line="264"/>
              <w:jc w:val="both"/>
            </w:pPr>
            <w:r>
              <w:rPr>
                <w:b/>
                <w:bCs/>
                <w:sz w:val="20"/>
                <w:szCs w:val="20"/>
              </w:rPr>
              <w:t xml:space="preserve">5. La conciliación es, además, la única vía que produce un título de pago lícito.</w:t>
            </w:r>
            <w:r>
              <w:rPr>
                <w:sz w:val="20"/>
                <w:szCs w:val="20"/>
              </w:rPr>
              <w:t xml:space="preserve"> El acta aprobada judicialmente presta mérito ejecutivo y hace tránsito a cosa juzgada (artículo 113 de la Ley 2220 de 2022). Un pago directo, sin contrato y sin título judicial, comprometería personal y pecuniariamente a quien lo ordene (artículo 71 del Decreto 111 de 1996).</w:t>
            </w:r>
          </w:p>
        </w:tc>
      </w:tr>
    </w:tbl>
    <w:p>
      <w:r>
        <w:br w:type="page"/>
      </w:r>
    </w:p>
    <w:p>
      <w:pPr>
        <w:pStyle w:val="Heading1"/>
        <w:spacing w:after="160" w:before="320"/>
      </w:pPr>
      <w:r>
        <w:rPr>
          <w:b/>
          <w:bCs/>
          <w:color w:val="1F3864"/>
          <w:sz w:val="26"/>
          <w:szCs w:val="26"/>
        </w:rPr>
        <w:t xml:space="preserve">1. Objeto de la ficha</w:t>
      </w:r>
    </w:p>
    <w:p>
      <w:pPr>
        <w:spacing w:after="140" w:line="276"/>
        <w:jc w:val="both"/>
      </w:pPr>
      <w:r>
        <w:rPr>
          <w:sz w:val="21"/>
          <w:szCs w:val="21"/>
        </w:rPr>
        <w:t xml:space="preserve">Someter a consideración del Comité de Conciliación de la ESAP la procedencia de conciliar el reconocimiento económico reclamado por los jurados externos que intervinieron en la aplicación y calificación de las pruebas de conocimientos y de aptitud e idoneidad pedagógica e investigativa del Concurso Público de Méritos convocado mediante la Resolución SC-1935 de 2025, cuyo cronograma fue modificado por la Resolución SC-155 de 2026, así como fijar la posición institucional y los parámetros dentro de los cuales actuará el apoderado en la audiencia, conforme al numeral 5 del artículo 120 de la Ley 2220 de 2022.</w:t>
      </w:r>
    </w:p>
    <w:p>
      <w:pPr>
        <w:pStyle w:val="Heading1"/>
        <w:spacing w:after="160" w:before="320"/>
      </w:pPr>
      <w:r>
        <w:rPr>
          <w:b/>
          <w:bCs/>
          <w:color w:val="1F3864"/>
          <w:sz w:val="26"/>
          <w:szCs w:val="26"/>
        </w:rPr>
        <w:t xml:space="preserve">2. Hechos relevantes y soporte probatorio</w:t>
      </w:r>
    </w:p>
    <w:p>
      <w:pPr>
        <w:spacing w:after="140" w:line="276"/>
        <w:jc w:val="both"/>
      </w:pPr>
      <w:r>
        <w:rPr>
          <w:sz w:val="21"/>
          <w:szCs w:val="21"/>
        </w:rPr>
        <w:t xml:space="preserve">El valor de la posición institucional depende por completo de la solidez del acervo. La regla 86 de la unificación de 2025 exige la </w:t>
      </w:r>
      <w:r>
        <w:rPr>
          <w:b/>
          <w:bCs/>
          <w:sz w:val="21"/>
          <w:szCs w:val="21"/>
        </w:rPr>
        <w:t xml:space="preserve">prueba plena</w:t>
      </w:r>
      <w:r>
        <w:rPr>
          <w:sz w:val="21"/>
          <w:szCs w:val="21"/>
        </w:rPr>
        <w:t xml:space="preserve"> de la actividad y de la circunstancia excepcional invocada. La siguiente matriz debe completarse y foliarse antes de la sesión.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3400"/>
        <w:gridCol w:w="3560"/>
        <w:gridCol w:w="2400"/>
      </w:tblGrid>
      <w:tr>
        <w:trPr>
          <w:tblHeader/>
        </w:trPr>
        <w:tc>
          <w:tcPr>
            <w:tcW w:type="dxa" w:w="34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Hecho</w:t>
            </w:r>
          </w:p>
        </w:tc>
        <w:tc>
          <w:tcPr>
            <w:tcW w:type="dxa" w:w="35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Medio de prueba</w:t>
            </w:r>
          </w:p>
        </w:tc>
        <w:tc>
          <w:tcPr>
            <w:tcW w:type="dxa" w:w="24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Estado</w:t>
            </w:r>
          </w:p>
        </w:tc>
      </w:tr>
      <w:tr>
        <w:trPr>
          <w:tblHeader w:val="false"/>
        </w:trPr>
        <w:tc>
          <w:tcPr>
            <w:tcW w:type="dxa" w:w="3400"/>
            <w:tcMar>
              <w:top w:type="dxa" w:w="80"/>
              <w:left w:type="dxa" w:w="110"/>
              <w:bottom w:type="dxa" w:w="80"/>
              <w:right w:type="dxa" w:w="110"/>
            </w:tcMar>
            <w:vAlign w:val="center"/>
          </w:tcPr>
          <w:p>
            <w:pPr>
              <w:spacing w:after="40" w:line="250"/>
              <w:jc w:val="left"/>
            </w:pPr>
            <w:r>
              <w:rPr>
                <w:sz w:val="18"/>
                <w:szCs w:val="18"/>
              </w:rPr>
              <w:t xml:space="preserve">La ESAP adelantó el concurso para proveer 35 cargos docentes, con pruebas de conocimientos y de aptitud e idoneidad pedagógica e investigativa.</w:t>
            </w:r>
          </w:p>
        </w:tc>
        <w:tc>
          <w:tcPr>
            <w:tcW w:type="dxa" w:w="3560"/>
            <w:tcMar>
              <w:top w:type="dxa" w:w="80"/>
              <w:left w:type="dxa" w:w="110"/>
              <w:bottom w:type="dxa" w:w="80"/>
              <w:right w:type="dxa" w:w="110"/>
            </w:tcMar>
            <w:vAlign w:val="center"/>
          </w:tcPr>
          <w:p>
            <w:pPr>
              <w:spacing w:after="40" w:line="250"/>
              <w:jc w:val="left"/>
            </w:pPr>
            <w:r>
              <w:rPr>
                <w:sz w:val="18"/>
                <w:szCs w:val="18"/>
              </w:rPr>
              <w:t xml:space="preserve">Resoluciones SC-1935 de 2025 y SC-155 de 2026; documentos de la convocatoria.</w:t>
            </w:r>
          </w:p>
        </w:tc>
        <w:tc>
          <w:tcPr>
            <w:tcW w:type="dxa" w:w="2400"/>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shd w:fill="F2F4F8" w:color="auto" w:val="clear"/>
            <w:tcMar>
              <w:top w:type="dxa" w:w="80"/>
              <w:left w:type="dxa" w:w="110"/>
              <w:bottom w:type="dxa" w:w="80"/>
              <w:right w:type="dxa" w:w="110"/>
            </w:tcMar>
            <w:vAlign w:val="center"/>
          </w:tcPr>
          <w:p>
            <w:pPr>
              <w:spacing w:after="40" w:line="250"/>
              <w:jc w:val="left"/>
            </w:pPr>
            <w:r>
              <w:rPr>
                <w:sz w:val="18"/>
                <w:szCs w:val="18"/>
              </w:rPr>
              <w:t xml:space="preserve">La Dirección de Gestión Académica seleccionó jurados externos con formación y experiencia académica.</w:t>
            </w:r>
          </w:p>
        </w:tc>
        <w:tc>
          <w:tcPr>
            <w:tcW w:type="dxa" w:w="3560"/>
            <w:shd w:fill="F2F4F8" w:color="auto" w:val="clear"/>
            <w:tcMar>
              <w:top w:type="dxa" w:w="80"/>
              <w:left w:type="dxa" w:w="110"/>
              <w:bottom w:type="dxa" w:w="80"/>
              <w:right w:type="dxa" w:w="110"/>
            </w:tcMar>
            <w:vAlign w:val="center"/>
          </w:tcPr>
          <w:p>
            <w:pPr>
              <w:spacing w:after="40" w:line="250"/>
              <w:jc w:val="left"/>
            </w:pPr>
            <w:r>
              <w:rPr>
                <w:sz w:val="18"/>
                <w:szCs w:val="18"/>
              </w:rPr>
              <w:t xml:space="preserve">Acto o documento interno de selección; hojas de vida.</w:t>
            </w:r>
          </w:p>
        </w:tc>
        <w:tc>
          <w:tcPr>
            <w:tcW w:type="dxa" w:w="240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Verificar</w:t>
            </w:r>
          </w:p>
        </w:tc>
      </w:tr>
      <w:tr>
        <w:trPr>
          <w:tblHeader w:val="false"/>
        </w:trPr>
        <w:tc>
          <w:tcPr>
            <w:tcW w:type="dxa" w:w="3400"/>
            <w:tcMar>
              <w:top w:type="dxa" w:w="80"/>
              <w:left w:type="dxa" w:w="110"/>
              <w:bottom w:type="dxa" w:w="80"/>
              <w:right w:type="dxa" w:w="110"/>
            </w:tcMar>
            <w:vAlign w:val="center"/>
          </w:tcPr>
          <w:p>
            <w:pPr>
              <w:spacing w:after="40" w:line="250"/>
              <w:jc w:val="left"/>
            </w:pPr>
            <w:r>
              <w:rPr>
                <w:sz w:val="18"/>
                <w:szCs w:val="18"/>
              </w:rPr>
              <w:t xml:space="preserve">La designación se comunicó a cada jurado por el correo oficial del concurso.</w:t>
            </w:r>
          </w:p>
        </w:tc>
        <w:tc>
          <w:tcPr>
            <w:tcW w:type="dxa" w:w="3560"/>
            <w:tcMar>
              <w:top w:type="dxa" w:w="80"/>
              <w:left w:type="dxa" w:w="110"/>
              <w:bottom w:type="dxa" w:w="80"/>
              <w:right w:type="dxa" w:w="110"/>
            </w:tcMar>
            <w:vAlign w:val="center"/>
          </w:tcPr>
          <w:p>
            <w:pPr>
              <w:spacing w:after="40" w:line="250"/>
              <w:jc w:val="left"/>
            </w:pPr>
            <w:r>
              <w:rPr>
                <w:sz w:val="18"/>
                <w:szCs w:val="18"/>
              </w:rPr>
              <w:t xml:space="preserve">Correos electrónicos institucionales con acuse.</w:t>
            </w:r>
          </w:p>
        </w:tc>
        <w:tc>
          <w:tcPr>
            <w:tcW w:type="dxa" w:w="2400"/>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shd w:fill="F2F4F8" w:color="auto" w:val="clear"/>
            <w:tcMar>
              <w:top w:type="dxa" w:w="80"/>
              <w:left w:type="dxa" w:w="110"/>
              <w:bottom w:type="dxa" w:w="80"/>
              <w:right w:type="dxa" w:w="110"/>
            </w:tcMar>
            <w:vAlign w:val="center"/>
          </w:tcPr>
          <w:p>
            <w:pPr>
              <w:spacing w:after="40" w:line="250"/>
              <w:jc w:val="left"/>
            </w:pPr>
            <w:r>
              <w:rPr>
                <w:sz w:val="18"/>
                <w:szCs w:val="18"/>
              </w:rPr>
              <w:t xml:space="preserve">Los jurados fueron capacitados por la ESAP en dos sesiones sobre metodología y rúbricas.</w:t>
            </w:r>
          </w:p>
        </w:tc>
        <w:tc>
          <w:tcPr>
            <w:tcW w:type="dxa" w:w="3560"/>
            <w:shd w:fill="F2F4F8" w:color="auto" w:val="clear"/>
            <w:tcMar>
              <w:top w:type="dxa" w:w="80"/>
              <w:left w:type="dxa" w:w="110"/>
              <w:bottom w:type="dxa" w:w="80"/>
              <w:right w:type="dxa" w:w="110"/>
            </w:tcMar>
            <w:vAlign w:val="center"/>
          </w:tcPr>
          <w:p>
            <w:pPr>
              <w:spacing w:after="40" w:line="250"/>
              <w:jc w:val="left"/>
            </w:pPr>
            <w:r>
              <w:rPr>
                <w:sz w:val="18"/>
                <w:szCs w:val="18"/>
              </w:rPr>
              <w:t xml:space="preserve">Convocatorias, registros de asistencia, material y grabaciones.</w:t>
            </w:r>
          </w:p>
        </w:tc>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tcMar>
              <w:top w:type="dxa" w:w="80"/>
              <w:left w:type="dxa" w:w="110"/>
              <w:bottom w:type="dxa" w:w="80"/>
              <w:right w:type="dxa" w:w="110"/>
            </w:tcMar>
            <w:vAlign w:val="center"/>
          </w:tcPr>
          <w:p>
            <w:pPr>
              <w:spacing w:after="40" w:line="250"/>
              <w:jc w:val="left"/>
            </w:pPr>
            <w:r>
              <w:rPr>
                <w:sz w:val="18"/>
                <w:szCs w:val="18"/>
              </w:rPr>
              <w:t xml:space="preserve">Integraron los tribunales de evaluación y participaron efectivamente en las sesiones asignadas.</w:t>
            </w:r>
          </w:p>
        </w:tc>
        <w:tc>
          <w:tcPr>
            <w:tcW w:type="dxa" w:w="3560"/>
            <w:tcMar>
              <w:top w:type="dxa" w:w="80"/>
              <w:left w:type="dxa" w:w="110"/>
              <w:bottom w:type="dxa" w:w="80"/>
              <w:right w:type="dxa" w:w="110"/>
            </w:tcMar>
            <w:vAlign w:val="center"/>
          </w:tcPr>
          <w:p>
            <w:pPr>
              <w:spacing w:after="40" w:line="250"/>
              <w:jc w:val="left"/>
            </w:pPr>
            <w:r>
              <w:rPr>
                <w:sz w:val="18"/>
                <w:szCs w:val="18"/>
              </w:rPr>
              <w:t xml:space="preserve">Grabaciones de las sesiones; programación; actas.</w:t>
            </w:r>
          </w:p>
        </w:tc>
        <w:tc>
          <w:tcPr>
            <w:tcW w:type="dxa" w:w="2400"/>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shd w:fill="F2F4F8" w:color="auto" w:val="clear"/>
            <w:tcMar>
              <w:top w:type="dxa" w:w="80"/>
              <w:left w:type="dxa" w:w="110"/>
              <w:bottom w:type="dxa" w:w="80"/>
              <w:right w:type="dxa" w:w="110"/>
            </w:tcMar>
            <w:vAlign w:val="center"/>
          </w:tcPr>
          <w:p>
            <w:pPr>
              <w:spacing w:after="40" w:line="250"/>
              <w:jc w:val="left"/>
            </w:pPr>
            <w:r>
              <w:rPr>
                <w:sz w:val="18"/>
                <w:szCs w:val="18"/>
              </w:rPr>
              <w:t xml:space="preserve">Revisaron planes de trabajo académico, escucharon sustentaciones orales y formularon preguntas.</w:t>
            </w:r>
          </w:p>
        </w:tc>
        <w:tc>
          <w:tcPr>
            <w:tcW w:type="dxa" w:w="3560"/>
            <w:shd w:fill="F2F4F8" w:color="auto" w:val="clear"/>
            <w:tcMar>
              <w:top w:type="dxa" w:w="80"/>
              <w:left w:type="dxa" w:w="110"/>
              <w:bottom w:type="dxa" w:w="80"/>
              <w:right w:type="dxa" w:w="110"/>
            </w:tcMar>
            <w:vAlign w:val="center"/>
          </w:tcPr>
          <w:p>
            <w:pPr>
              <w:spacing w:after="40" w:line="250"/>
              <w:jc w:val="left"/>
            </w:pPr>
            <w:r>
              <w:rPr>
                <w:sz w:val="18"/>
                <w:szCs w:val="18"/>
              </w:rPr>
              <w:t xml:space="preserve">Grabaciones; instrumentos diligenciados.</w:t>
            </w:r>
          </w:p>
        </w:tc>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tcMar>
              <w:top w:type="dxa" w:w="80"/>
              <w:left w:type="dxa" w:w="110"/>
              <w:bottom w:type="dxa" w:w="80"/>
              <w:right w:type="dxa" w:w="110"/>
            </w:tcMar>
            <w:vAlign w:val="center"/>
          </w:tcPr>
          <w:p>
            <w:pPr>
              <w:spacing w:after="40" w:line="250"/>
              <w:jc w:val="left"/>
            </w:pPr>
            <w:r>
              <w:rPr>
                <w:sz w:val="18"/>
                <w:szCs w:val="18"/>
              </w:rPr>
              <w:t xml:space="preserve">Diligenciaron y suscribieron rúbricas, formatos e instrumentos, con calificaciones y observaciones.</w:t>
            </w:r>
          </w:p>
        </w:tc>
        <w:tc>
          <w:tcPr>
            <w:tcW w:type="dxa" w:w="3560"/>
            <w:tcMar>
              <w:top w:type="dxa" w:w="80"/>
              <w:left w:type="dxa" w:w="110"/>
              <w:bottom w:type="dxa" w:w="80"/>
              <w:right w:type="dxa" w:w="110"/>
            </w:tcMar>
            <w:vAlign w:val="center"/>
          </w:tcPr>
          <w:p>
            <w:pPr>
              <w:spacing w:after="40" w:line="250"/>
              <w:jc w:val="left"/>
            </w:pPr>
            <w:r>
              <w:rPr>
                <w:sz w:val="18"/>
                <w:szCs w:val="18"/>
              </w:rPr>
              <w:t xml:space="preserve">Rúbricas e instrumentos firmados (documentos con reserva).</w:t>
            </w:r>
          </w:p>
        </w:tc>
        <w:tc>
          <w:tcPr>
            <w:tcW w:type="dxa" w:w="2400"/>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shd w:fill="F2F4F8" w:color="auto" w:val="clear"/>
            <w:tcMar>
              <w:top w:type="dxa" w:w="80"/>
              <w:left w:type="dxa" w:w="110"/>
              <w:bottom w:type="dxa" w:w="80"/>
              <w:right w:type="dxa" w:w="110"/>
            </w:tcMar>
            <w:vAlign w:val="center"/>
          </w:tcPr>
          <w:p>
            <w:pPr>
              <w:spacing w:after="40" w:line="250"/>
              <w:jc w:val="left"/>
            </w:pPr>
            <w:r>
              <w:rPr>
                <w:sz w:val="18"/>
                <w:szCs w:val="18"/>
              </w:rPr>
              <w:t xml:space="preserve">La ESAP recibió, consolidó e incorporó esos resultados para establecer las calificaciones y continuar el concurso.</w:t>
            </w:r>
          </w:p>
        </w:tc>
        <w:tc>
          <w:tcPr>
            <w:tcW w:type="dxa" w:w="3560"/>
            <w:shd w:fill="F2F4F8" w:color="auto" w:val="clear"/>
            <w:tcMar>
              <w:top w:type="dxa" w:w="80"/>
              <w:left w:type="dxa" w:w="110"/>
              <w:bottom w:type="dxa" w:w="80"/>
              <w:right w:type="dxa" w:w="110"/>
            </w:tcMar>
            <w:vAlign w:val="center"/>
          </w:tcPr>
          <w:p>
            <w:pPr>
              <w:spacing w:after="40" w:line="250"/>
              <w:jc w:val="left"/>
            </w:pPr>
            <w:r>
              <w:rPr>
                <w:sz w:val="18"/>
                <w:szCs w:val="18"/>
              </w:rPr>
              <w:t xml:space="preserve">Consolidados; publicación de resultados de prueba oral y escrita.</w:t>
            </w:r>
          </w:p>
        </w:tc>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tcMar>
              <w:top w:type="dxa" w:w="80"/>
              <w:left w:type="dxa" w:w="110"/>
              <w:bottom w:type="dxa" w:w="80"/>
              <w:right w:type="dxa" w:w="110"/>
            </w:tcMar>
            <w:vAlign w:val="center"/>
          </w:tcPr>
          <w:p>
            <w:pPr>
              <w:spacing w:after="40" w:line="250"/>
              <w:jc w:val="left"/>
            </w:pPr>
            <w:r>
              <w:rPr>
                <w:sz w:val="18"/>
                <w:szCs w:val="18"/>
              </w:rPr>
              <w:t xml:space="preserve">La ESAP usó las evaluaciones para fundamentar resoluciones que quedaron en firme; una fue recurrida.</w:t>
            </w:r>
          </w:p>
        </w:tc>
        <w:tc>
          <w:tcPr>
            <w:tcW w:type="dxa" w:w="3560"/>
            <w:tcMar>
              <w:top w:type="dxa" w:w="80"/>
              <w:left w:type="dxa" w:w="110"/>
              <w:bottom w:type="dxa" w:w="80"/>
              <w:right w:type="dxa" w:w="110"/>
            </w:tcMar>
            <w:vAlign w:val="center"/>
          </w:tcPr>
          <w:p>
            <w:pPr>
              <w:spacing w:after="40" w:line="250"/>
              <w:jc w:val="left"/>
            </w:pPr>
            <w:r>
              <w:rPr>
                <w:sz w:val="18"/>
                <w:szCs w:val="18"/>
              </w:rPr>
              <w:t xml:space="preserve">Resoluciones y constancias de ejecutoria; expediente del recurso.</w:t>
            </w:r>
          </w:p>
        </w:tc>
        <w:tc>
          <w:tcPr>
            <w:tcW w:type="dxa" w:w="2400"/>
            <w:tcMar>
              <w:top w:type="dxa" w:w="80"/>
              <w:left w:type="dxa" w:w="110"/>
              <w:bottom w:type="dxa" w:w="80"/>
              <w:right w:type="dxa" w:w="110"/>
            </w:tcMar>
            <w:vAlign w:val="center"/>
          </w:tcPr>
          <w:p>
            <w:pPr>
              <w:spacing w:after="40" w:line="250"/>
              <w:jc w:val="left"/>
            </w:pPr>
            <w:r>
              <w:rPr>
                <w:sz w:val="18"/>
                <w:szCs w:val="18"/>
              </w:rPr>
              <w:t xml:space="preserve">Disponible</w:t>
            </w:r>
          </w:p>
        </w:tc>
      </w:tr>
      <w:tr>
        <w:trPr>
          <w:tblHeader w:val="false"/>
        </w:trPr>
        <w:tc>
          <w:tcPr>
            <w:tcW w:type="dxa" w:w="3400"/>
            <w:shd w:fill="F2F4F8" w:color="auto" w:val="clear"/>
            <w:tcMar>
              <w:top w:type="dxa" w:w="80"/>
              <w:left w:type="dxa" w:w="110"/>
              <w:bottom w:type="dxa" w:w="80"/>
              <w:right w:type="dxa" w:w="110"/>
            </w:tcMar>
            <w:vAlign w:val="center"/>
          </w:tcPr>
          <w:p>
            <w:pPr>
              <w:spacing w:after="40" w:line="250"/>
              <w:jc w:val="left"/>
            </w:pPr>
            <w:r>
              <w:rPr>
                <w:sz w:val="18"/>
                <w:szCs w:val="18"/>
              </w:rPr>
              <w:t xml:space="preserve">No existe contrato, orden de servicio ni CDP para el reconocimiento de la labor.</w:t>
            </w:r>
          </w:p>
        </w:tc>
        <w:tc>
          <w:tcPr>
            <w:tcW w:type="dxa" w:w="3560"/>
            <w:shd w:fill="F2F4F8" w:color="auto" w:val="clear"/>
            <w:tcMar>
              <w:top w:type="dxa" w:w="80"/>
              <w:left w:type="dxa" w:w="110"/>
              <w:bottom w:type="dxa" w:w="80"/>
              <w:right w:type="dxa" w:w="110"/>
            </w:tcMar>
            <w:vAlign w:val="center"/>
          </w:tcPr>
          <w:p>
            <w:pPr>
              <w:spacing w:after="40" w:line="250"/>
              <w:jc w:val="left"/>
            </w:pPr>
            <w:r>
              <w:rPr>
                <w:sz w:val="18"/>
                <w:szCs w:val="18"/>
              </w:rPr>
              <w:t xml:space="preserve">Certificación de la Subdirección Administrativa y Financiera y de la oficina de contratación.</w:t>
            </w:r>
          </w:p>
        </w:tc>
        <w:tc>
          <w:tcPr>
            <w:tcW w:type="dxa" w:w="240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Verificar</w:t>
            </w:r>
          </w:p>
        </w:tc>
      </w:tr>
      <w:tr>
        <w:trPr>
          <w:tblHeader w:val="false"/>
        </w:trPr>
        <w:tc>
          <w:tcPr>
            <w:tcW w:type="dxa" w:w="3400"/>
            <w:tcMar>
              <w:top w:type="dxa" w:w="80"/>
              <w:left w:type="dxa" w:w="110"/>
              <w:bottom w:type="dxa" w:w="80"/>
              <w:right w:type="dxa" w:w="110"/>
            </w:tcMar>
            <w:vAlign w:val="center"/>
          </w:tcPr>
          <w:p>
            <w:pPr>
              <w:spacing w:after="40" w:line="250"/>
              <w:jc w:val="left"/>
            </w:pPr>
            <w:r>
              <w:rPr>
                <w:sz w:val="18"/>
                <w:szCs w:val="18"/>
              </w:rPr>
              <w:t xml:space="preserve">Los jurados han reclamado el pago ante el equipo de seguimiento.</w:t>
            </w:r>
          </w:p>
        </w:tc>
        <w:tc>
          <w:tcPr>
            <w:tcW w:type="dxa" w:w="3560"/>
            <w:tcMar>
              <w:top w:type="dxa" w:w="80"/>
              <w:left w:type="dxa" w:w="110"/>
              <w:bottom w:type="dxa" w:w="80"/>
              <w:right w:type="dxa" w:w="110"/>
            </w:tcMar>
            <w:vAlign w:val="center"/>
          </w:tcPr>
          <w:p>
            <w:pPr>
              <w:spacing w:after="40" w:line="250"/>
              <w:jc w:val="left"/>
            </w:pPr>
            <w:r>
              <w:rPr>
                <w:sz w:val="18"/>
                <w:szCs w:val="18"/>
              </w:rPr>
              <w:t xml:space="preserve">Correos, PQRSD, registro de llamadas.</w:t>
            </w:r>
          </w:p>
        </w:tc>
        <w:tc>
          <w:tcPr>
            <w:tcW w:type="dxa" w:w="2400"/>
            <w:tcMar>
              <w:top w:type="dxa" w:w="80"/>
              <w:left w:type="dxa" w:w="110"/>
              <w:bottom w:type="dxa" w:w="80"/>
              <w:right w:type="dxa" w:w="110"/>
            </w:tcMar>
            <w:vAlign w:val="center"/>
          </w:tcPr>
          <w:p>
            <w:pPr>
              <w:spacing w:after="40" w:line="250"/>
              <w:jc w:val="left"/>
            </w:pPr>
            <w:r>
              <w:rPr>
                <w:b/>
                <w:bCs/>
                <w:sz w:val="18"/>
                <w:szCs w:val="18"/>
              </w:rPr>
              <w:t xml:space="preserve">Débil — documentar</w:t>
            </w:r>
          </w:p>
        </w:tc>
      </w:tr>
      <w:tr>
        <w:trPr>
          <w:tblHeader w:val="false"/>
        </w:trPr>
        <w:tc>
          <w:tcPr>
            <w:tcW w:type="dxa" w:w="3400"/>
            <w:shd w:fill="F2F4F8" w:color="auto" w:val="clear"/>
            <w:tcMar>
              <w:top w:type="dxa" w:w="80"/>
              <w:left w:type="dxa" w:w="110"/>
              <w:bottom w:type="dxa" w:w="80"/>
              <w:right w:type="dxa" w:w="110"/>
            </w:tcMar>
            <w:vAlign w:val="center"/>
          </w:tcPr>
          <w:p>
            <w:pPr>
              <w:spacing w:after="40" w:line="250"/>
              <w:jc w:val="left"/>
            </w:pPr>
            <w:r>
              <w:rPr>
                <w:sz w:val="18"/>
                <w:szCs w:val="18"/>
              </w:rPr>
              <w:t xml:space="preserve">Volumen efectivo de trabajo por jurado (horas, aspirantes evaluados, sesiones).</w:t>
            </w:r>
          </w:p>
        </w:tc>
        <w:tc>
          <w:tcPr>
            <w:tcW w:type="dxa" w:w="3560"/>
            <w:shd w:fill="F2F4F8" w:color="auto" w:val="clear"/>
            <w:tcMar>
              <w:top w:type="dxa" w:w="80"/>
              <w:left w:type="dxa" w:w="110"/>
              <w:bottom w:type="dxa" w:w="80"/>
              <w:right w:type="dxa" w:w="110"/>
            </w:tcMar>
            <w:vAlign w:val="center"/>
          </w:tcPr>
          <w:p>
            <w:pPr>
              <w:spacing w:after="40" w:line="250"/>
              <w:jc w:val="left"/>
            </w:pPr>
            <w:r>
              <w:rPr>
                <w:sz w:val="18"/>
                <w:szCs w:val="18"/>
              </w:rPr>
              <w:t xml:space="preserve">Cruce de programación, grabaciones y rúbricas firmadas.</w:t>
            </w:r>
          </w:p>
        </w:tc>
        <w:tc>
          <w:tcPr>
            <w:tcW w:type="dxa" w:w="240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Por construir</w:t>
            </w:r>
          </w:p>
        </w:tc>
      </w:tr>
    </w:tbl>
    <w:p>
      <w:pPr>
        <w:spacing w:after="140"/>
      </w:pPr>
    </w:p>
    <w:p>
      <w:pPr>
        <w:spacing w:after="140" w:line="260"/>
        <w:jc w:val="both"/>
      </w:pPr>
      <w:r>
        <w:rPr>
          <w:i/>
          <w:iCs/>
          <w:color w:val="595959"/>
          <w:sz w:val="18"/>
          <w:szCs w:val="18"/>
        </w:rPr>
        <w:t xml:space="preserve">Advertencia. La reclamación verbal por vía telefónica no es un soporte útil. Debe consolidarse un cuadro por jurado —sesiones, aspirantes, horas, instrumentos suscritos— que será a la vez la prueba del empobrecimiento y la base de la tasación. Sin ese cuadro no hay fórmula conciliatoria defendible.</w:t>
      </w:r>
    </w:p>
    <w:p>
      <w:pPr>
        <w:pStyle w:val="Heading1"/>
        <w:spacing w:after="160" w:before="320"/>
      </w:pPr>
      <w:r>
        <w:rPr>
          <w:b/>
          <w:bCs/>
          <w:color w:val="1F3864"/>
          <w:sz w:val="26"/>
          <w:szCs w:val="26"/>
        </w:rPr>
        <w:t xml:space="preserve">3. Problema jurídico</w:t>
      </w:r>
    </w:p>
    <w:p>
      <w:pPr>
        <w:spacing w:after="140" w:line="276"/>
        <w:jc w:val="both"/>
      </w:pPr>
      <w:r>
        <w:rPr>
          <w:sz w:val="21"/>
          <w:szCs w:val="21"/>
        </w:rPr>
        <w:t xml:space="preserve">¿Es jurídicamente viable, y conveniente para la entidad, reconocer por vía conciliatoria una suma de dinero a favor de los jurados externos que ejecutaron, sin contrato ni orden formal, actividades de evaluación efectivamente recibidas y aprovechadas por la ESAP dentro del Concurso Público de Méritos; y, en caso afirmativo, bajo qué título jurídico, con qué límite cuantitativo y con qué salvaguardas?</w:t>
      </w:r>
    </w:p>
    <w:p>
      <w:pPr>
        <w:pStyle w:val="Heading1"/>
        <w:spacing w:after="160" w:before="320"/>
      </w:pPr>
      <w:r>
        <w:rPr>
          <w:b/>
          <w:bCs/>
          <w:color w:val="1F3864"/>
          <w:sz w:val="26"/>
          <w:szCs w:val="26"/>
        </w:rPr>
        <w:t xml:space="preserve">4. Marco normativo y jurisprudencial aplicable</w:t>
      </w:r>
    </w:p>
    <w:p>
      <w:pPr>
        <w:pStyle w:val="Heading2"/>
        <w:spacing w:after="120" w:before="240"/>
      </w:pPr>
      <w:r>
        <w:rPr>
          <w:b/>
          <w:bCs/>
          <w:color w:val="1F3864"/>
          <w:sz w:val="22"/>
          <w:szCs w:val="22"/>
        </w:rPr>
        <w:t xml:space="preserve">4.1. Estatuto de Conciliación — Ley 2220 de 2022</w:t>
      </w:r>
    </w:p>
    <w:p>
      <w:pPr>
        <w:pStyle w:val="ListParagraph"/>
        <w:numPr>
          <w:ilvl w:val="0"/>
          <w:numId w:val="2"/>
        </w:numPr>
        <w:spacing w:after="90" w:line="276"/>
        <w:jc w:val="both"/>
      </w:pPr>
      <w:r>
        <w:rPr>
          <w:b/>
          <w:bCs/>
          <w:sz w:val="21"/>
          <w:szCs w:val="21"/>
        </w:rPr>
        <w:t xml:space="preserve">Artículo 89.</w:t>
      </w:r>
      <w:r>
        <w:rPr>
          <w:sz w:val="21"/>
          <w:szCs w:val="21"/>
        </w:rPr>
        <w:t xml:space="preserve"> Son conciliables todos los conflictos que pueda conocer la Jurisdicción de lo Contencioso Administrativo, salvo prohibición expresa. Y, de manera decisiva para este caso: «Podrá acudirse a la conciliación extrajudicial </w:t>
      </w:r>
      <w:r>
        <w:rPr>
          <w:b/>
          <w:bCs/>
          <w:sz w:val="21"/>
          <w:szCs w:val="21"/>
        </w:rPr>
        <w:t xml:space="preserve">sin que medie una intención de demanda</w:t>
      </w:r>
      <w:r>
        <w:rPr>
          <w:sz w:val="21"/>
          <w:szCs w:val="21"/>
        </w:rPr>
        <w:t xml:space="preserve"> y podrá ser presentada </w:t>
      </w:r>
      <w:r>
        <w:rPr>
          <w:b/>
          <w:bCs/>
          <w:sz w:val="21"/>
          <w:szCs w:val="21"/>
        </w:rPr>
        <w:t xml:space="preserve">de común acuerdo por las partes</w:t>
      </w:r>
      <w:r>
        <w:rPr>
          <w:sz w:val="21"/>
          <w:szCs w:val="21"/>
        </w:rPr>
        <w:t xml:space="preserve"> de un eventual conflicto». La ESAP no tiene que esperar la demanda.</w:t>
      </w:r>
    </w:p>
    <w:p>
      <w:pPr>
        <w:pStyle w:val="ListParagraph"/>
        <w:numPr>
          <w:ilvl w:val="0"/>
          <w:numId w:val="2"/>
        </w:numPr>
        <w:spacing w:after="90" w:line="276"/>
        <w:jc w:val="both"/>
      </w:pPr>
      <w:r>
        <w:rPr>
          <w:b/>
          <w:bCs/>
          <w:sz w:val="21"/>
          <w:szCs w:val="21"/>
        </w:rPr>
        <w:t xml:space="preserve">Artículo 90.</w:t>
      </w:r>
      <w:r>
        <w:rPr>
          <w:sz w:val="21"/>
          <w:szCs w:val="21"/>
        </w:rPr>
        <w:t xml:space="preserve"> No son conciliables los asuntos tributarios, los ejecutivos contractuales, aquellos en que </w:t>
      </w:r>
      <w:r>
        <w:rPr>
          <w:b/>
          <w:bCs/>
          <w:sz w:val="21"/>
          <w:szCs w:val="21"/>
        </w:rPr>
        <w:t xml:space="preserve">haya caducado la acción</w:t>
      </w:r>
      <w:r>
        <w:rPr>
          <w:sz w:val="21"/>
          <w:szCs w:val="21"/>
        </w:rPr>
        <w:t xml:space="preserve">, los de nulidad y restablecimiento con recursos pendientes, y aquellos en que la administración tenga elementos para considerar que el acto se obtuvo por medios fraudulentos. Ninguna causal se configura, sujeto a la verificación de caducidad de la sección 7.</w:t>
      </w:r>
    </w:p>
    <w:p>
      <w:pPr>
        <w:pStyle w:val="ListParagraph"/>
        <w:numPr>
          <w:ilvl w:val="0"/>
          <w:numId w:val="2"/>
        </w:numPr>
        <w:spacing w:after="90" w:line="276"/>
        <w:jc w:val="both"/>
      </w:pPr>
      <w:r>
        <w:rPr>
          <w:b/>
          <w:bCs/>
          <w:sz w:val="21"/>
          <w:szCs w:val="21"/>
        </w:rPr>
        <w:t xml:space="preserve">Artículo 92.</w:t>
      </w:r>
      <w:r>
        <w:rPr>
          <w:sz w:val="21"/>
          <w:szCs w:val="21"/>
        </w:rPr>
        <w:t xml:space="preserve"> La conciliación extrajudicial es requisito de procedibilidad de la demanda de reparación directa.</w:t>
      </w:r>
    </w:p>
    <w:p>
      <w:pPr>
        <w:pStyle w:val="ListParagraph"/>
        <w:numPr>
          <w:ilvl w:val="0"/>
          <w:numId w:val="2"/>
        </w:numPr>
        <w:spacing w:after="90" w:line="276"/>
        <w:jc w:val="both"/>
      </w:pPr>
      <w:r>
        <w:rPr>
          <w:b/>
          <w:bCs/>
          <w:sz w:val="21"/>
          <w:szCs w:val="21"/>
        </w:rPr>
        <w:t xml:space="preserve">Artículo 113.</w:t>
      </w:r>
      <w:r>
        <w:rPr>
          <w:sz w:val="21"/>
          <w:szCs w:val="21"/>
        </w:rPr>
        <w:t xml:space="preserve"> El acta de acuerdo se remite al juez para aprobación y a la Contraloría General de la República para que conceptúe sobre si afecta el patrimonio público —concepto obligatorio por encima de 5.000 SMLMV—. El acta aprobada y ejecutoriada </w:t>
      </w:r>
      <w:r>
        <w:rPr>
          <w:b/>
          <w:bCs/>
          <w:sz w:val="21"/>
          <w:szCs w:val="21"/>
        </w:rPr>
        <w:t xml:space="preserve">presta mérito ejecutivo y hace tránsito a cosa juzgada</w:t>
      </w:r>
      <w:r>
        <w:rPr>
          <w:sz w:val="21"/>
          <w:szCs w:val="21"/>
        </w:rPr>
        <w:t xml:space="preserve">.</w:t>
      </w:r>
    </w:p>
    <w:p>
      <w:pPr>
        <w:pStyle w:val="ListParagraph"/>
        <w:numPr>
          <w:ilvl w:val="0"/>
          <w:numId w:val="2"/>
        </w:numPr>
        <w:spacing w:after="90" w:line="276"/>
        <w:jc w:val="both"/>
      </w:pPr>
      <w:r>
        <w:rPr>
          <w:b/>
          <w:bCs/>
          <w:sz w:val="21"/>
          <w:szCs w:val="21"/>
        </w:rPr>
        <w:t xml:space="preserve">Artículo 115, parágrafo 2.</w:t>
      </w:r>
      <w:r>
        <w:rPr>
          <w:sz w:val="21"/>
          <w:szCs w:val="21"/>
        </w:rPr>
        <w:t xml:space="preserve"> «La decisión del Comité de Conciliación acerca de la viabilidad de conciliar </w:t>
      </w:r>
      <w:r>
        <w:rPr>
          <w:b/>
          <w:bCs/>
          <w:sz w:val="21"/>
          <w:szCs w:val="21"/>
        </w:rPr>
        <w:t xml:space="preserve">no requiere disponibilidad presupuestal, ni constituye ordenación de gasto</w:t>
      </w:r>
      <w:r>
        <w:rPr>
          <w:sz w:val="21"/>
          <w:szCs w:val="21"/>
        </w:rPr>
        <w:t xml:space="preserve">». Esto resuelve directamente la objeción derivada de la ausencia de CDP.</w:t>
      </w:r>
    </w:p>
    <w:p>
      <w:pPr>
        <w:pStyle w:val="ListParagraph"/>
        <w:numPr>
          <w:ilvl w:val="0"/>
          <w:numId w:val="2"/>
        </w:numPr>
        <w:spacing w:after="90" w:line="276"/>
        <w:jc w:val="both"/>
      </w:pPr>
      <w:r>
        <w:rPr>
          <w:b/>
          <w:bCs/>
          <w:sz w:val="21"/>
          <w:szCs w:val="21"/>
        </w:rPr>
        <w:t xml:space="preserve">Artículo 117.</w:t>
      </w:r>
      <w:r>
        <w:rPr>
          <w:sz w:val="21"/>
          <w:szCs w:val="21"/>
        </w:rPr>
        <w:t xml:space="preserve"> El Comité decide con sujeción estricta a las normas sustantivas, procedimentales y de control, evitando lesionar el patrimonio público, y </w:t>
      </w:r>
      <w:r>
        <w:rPr>
          <w:b/>
          <w:bCs/>
          <w:sz w:val="21"/>
          <w:szCs w:val="21"/>
        </w:rPr>
        <w:t xml:space="preserve">teniendo en cuenta las sentencias de unificación del Consejo de Estado</w:t>
      </w:r>
      <w:r>
        <w:rPr>
          <w:sz w:val="21"/>
          <w:szCs w:val="21"/>
        </w:rPr>
        <w:t xml:space="preserve">. La decisión de conciliar así adoptada, </w:t>
      </w:r>
      <w:r>
        <w:rPr>
          <w:b/>
          <w:bCs/>
          <w:sz w:val="21"/>
          <w:szCs w:val="21"/>
        </w:rPr>
        <w:t xml:space="preserve">por sí sola, no da lugar a investigaciones disciplinarias ni fiscales, ni a acción de repetición contra los miembros del Comité</w:t>
      </w:r>
      <w:r>
        <w:rPr>
          <w:sz w:val="21"/>
          <w:szCs w:val="21"/>
        </w:rPr>
        <w:t xml:space="preserve">.</w:t>
      </w:r>
    </w:p>
    <w:p>
      <w:pPr>
        <w:pStyle w:val="ListParagraph"/>
        <w:numPr>
          <w:ilvl w:val="0"/>
          <w:numId w:val="2"/>
        </w:numPr>
        <w:spacing w:after="90" w:line="276"/>
        <w:jc w:val="both"/>
      </w:pPr>
      <w:r>
        <w:rPr>
          <w:b/>
          <w:bCs/>
          <w:sz w:val="21"/>
          <w:szCs w:val="21"/>
        </w:rPr>
        <w:t xml:space="preserve">Artículo 119.</w:t>
      </w:r>
      <w:r>
        <w:rPr>
          <w:sz w:val="21"/>
          <w:szCs w:val="21"/>
        </w:rPr>
        <w:t xml:space="preserve"> «En los asuntos en los cuales exista </w:t>
      </w:r>
      <w:r>
        <w:rPr>
          <w:b/>
          <w:bCs/>
          <w:sz w:val="21"/>
          <w:szCs w:val="21"/>
        </w:rPr>
        <w:t xml:space="preserve">alta probabilidad de condena</w:t>
      </w:r>
      <w:r>
        <w:rPr>
          <w:sz w:val="21"/>
          <w:szCs w:val="21"/>
        </w:rPr>
        <w:t xml:space="preserve">, con fundamento en las pruebas allegadas y en los precedentes jurisprudenciales aplicables al caso, los comités deberán analizar las pautas jurisprudenciales consolidadas y las sentencias de unificación (…) de manera que </w:t>
      </w:r>
      <w:r>
        <w:rPr>
          <w:b/>
          <w:bCs/>
          <w:sz w:val="21"/>
          <w:szCs w:val="21"/>
        </w:rPr>
        <w:t xml:space="preserve">se concilie</w:t>
      </w:r>
      <w:r>
        <w:rPr>
          <w:sz w:val="21"/>
          <w:szCs w:val="21"/>
        </w:rPr>
        <w:t xml:space="preserve"> en aquellos casos donde exista identidad de supuestos de hecho y de derecho respecto de la jurisprudencia reiterada». El Comité cuenta con quince (15) días desde el recibo de la petición para decidir. Puede sesionar con tres miembros permanentes y decide por mayoría simple.</w:t>
      </w:r>
    </w:p>
    <w:p>
      <w:pPr>
        <w:pStyle w:val="ListParagraph"/>
        <w:numPr>
          <w:ilvl w:val="0"/>
          <w:numId w:val="2"/>
        </w:numPr>
        <w:spacing w:after="90" w:line="276"/>
        <w:jc w:val="both"/>
      </w:pPr>
      <w:r>
        <w:rPr>
          <w:b/>
          <w:bCs/>
          <w:sz w:val="21"/>
          <w:szCs w:val="21"/>
        </w:rPr>
        <w:t xml:space="preserve">Artículo 120.</w:t>
      </w:r>
      <w:r>
        <w:rPr>
          <w:sz w:val="21"/>
          <w:szCs w:val="21"/>
        </w:rPr>
        <w:t xml:space="preserve"> Funciones del Comité: formular políticas de prevención del daño antijurídico (num. 1); estudiar las causas generadoras de los conflictos y proponer correctivos (num. 3); determinar la procedencia de la conciliación y fijar la posición institucional y los parámetros del apoderado (num. 5); definir fechas y formas de pago (num. 13).</w:t>
      </w:r>
    </w:p>
    <w:p>
      <w:pPr>
        <w:pStyle w:val="ListParagraph"/>
        <w:numPr>
          <w:ilvl w:val="0"/>
          <w:numId w:val="2"/>
        </w:numPr>
        <w:spacing w:after="90" w:line="276"/>
        <w:jc w:val="both"/>
      </w:pPr>
      <w:r>
        <w:rPr>
          <w:b/>
          <w:bCs/>
          <w:sz w:val="21"/>
          <w:szCs w:val="21"/>
        </w:rPr>
        <w:t xml:space="preserve">Artículo 123.</w:t>
      </w:r>
      <w:r>
        <w:rPr>
          <w:sz w:val="21"/>
          <w:szCs w:val="21"/>
        </w:rPr>
        <w:t xml:space="preserve"> La decisión del Comité es de obligatorio cumplimiento para el apoderado.</w:t>
      </w:r>
    </w:p>
    <w:p>
      <w:pPr>
        <w:pStyle w:val="ListParagraph"/>
        <w:numPr>
          <w:ilvl w:val="0"/>
          <w:numId w:val="2"/>
        </w:numPr>
        <w:spacing w:after="90" w:line="276"/>
        <w:jc w:val="both"/>
      </w:pPr>
      <w:r>
        <w:rPr>
          <w:b/>
          <w:bCs/>
          <w:sz w:val="21"/>
          <w:szCs w:val="21"/>
        </w:rPr>
        <w:t xml:space="preserve">Artículo 125.</w:t>
      </w:r>
      <w:r>
        <w:rPr>
          <w:sz w:val="21"/>
          <w:szCs w:val="21"/>
        </w:rPr>
        <w:t xml:space="preserve"> Pagada la conciliación, el ordenador del gasto debe remitir el acto y sus antecedentes al Comité para que, en término no superior a cuatro (4) meses, se adopte decisión motivada sobre el ejercicio de la acción de repetición.</w:t>
      </w:r>
    </w:p>
    <w:p>
      <w:pPr>
        <w:pStyle w:val="ListParagraph"/>
        <w:numPr>
          <w:ilvl w:val="0"/>
          <w:numId w:val="2"/>
        </w:numPr>
        <w:spacing w:after="90" w:line="276"/>
        <w:jc w:val="both"/>
      </w:pPr>
      <w:r>
        <w:rPr>
          <w:b/>
          <w:bCs/>
          <w:sz w:val="21"/>
          <w:szCs w:val="21"/>
        </w:rPr>
        <w:t xml:space="preserve">Artículo 128.</w:t>
      </w:r>
      <w:r>
        <w:rPr>
          <w:sz w:val="21"/>
          <w:szCs w:val="21"/>
        </w:rPr>
        <w:t xml:space="preserve"> Los Comités deben actuar con debida diligencia en la reducción de la litigiosidad mediante la conciliación y la aplicación de las sentencias de unificación. «La </w:t>
      </w:r>
      <w:r>
        <w:rPr>
          <w:b/>
          <w:bCs/>
          <w:sz w:val="21"/>
          <w:szCs w:val="21"/>
        </w:rPr>
        <w:t xml:space="preserve">omisión inexcusable</w:t>
      </w:r>
      <w:r>
        <w:rPr>
          <w:sz w:val="21"/>
          <w:szCs w:val="21"/>
        </w:rPr>
        <w:t xml:space="preserve"> en esta materia por parte de los integrantes de los Comités de Conciliación configura incumplimiento de sus deberes </w:t>
      </w:r>
      <w:r>
        <w:rPr>
          <w:b/>
          <w:bCs/>
          <w:sz w:val="21"/>
          <w:szCs w:val="21"/>
        </w:rPr>
        <w:t xml:space="preserve">sancionable como falta grave</w:t>
      </w:r>
      <w:r>
        <w:rPr>
          <w:sz w:val="21"/>
          <w:szCs w:val="21"/>
        </w:rPr>
        <w:t xml:space="preserve">».</w:t>
      </w:r>
    </w:p>
    <w:p>
      <w:pPr>
        <w:spacing w:after="100"/>
      </w:pPr>
    </w:p>
    <w:p>
      <w:pPr>
        <w:spacing w:after="140" w:line="260"/>
        <w:jc w:val="both"/>
      </w:pPr>
      <w:r>
        <w:rPr>
          <w:i/>
          <w:iCs/>
          <w:color w:val="595959"/>
          <w:sz w:val="18"/>
          <w:szCs w:val="18"/>
        </w:rPr>
        <w:t xml:space="preserve">Sobre el Decreto 1069 de 2015. Sus disposiciones sobre Comités de Conciliación (Título 4, Capítulo 3) conservan vigencia únicamente en lo que no resulte contrario a la Ley 2220 de 2022, cuyo artículo 146 derogó la Ley 640 de 2001 —soporte legal de aquella reglamentación— y cuyo artículo 145 declaró que la ley «rige íntegramente la materia de conciliación». En consecuencia, la integración, las sesiones, las funciones y la acción de repetición deben leerse hoy en los artículos 118 a 126 de la Ley 2220, y el Decreto 1069 opera como norma complementaria en lo operativo no regulado (v. gr. artículos 2.2.4.3.1.2.8 sobre apoderados, 2.2.4.3.1.2.9 sobre asesoría de la ANDJE y 2.2.4.3.1.2.11 sobre información litigiosa). Se recomienda actualizar el reglamento interno del Comité si aún remite a la Ley 640 de 2001.</w:t>
      </w:r>
    </w:p>
    <w:p>
      <w:pPr>
        <w:pStyle w:val="Heading2"/>
        <w:spacing w:after="120" w:before="240"/>
      </w:pPr>
      <w:r>
        <w:rPr>
          <w:b/>
          <w:bCs/>
          <w:color w:val="1F3864"/>
          <w:sz w:val="22"/>
          <w:szCs w:val="22"/>
        </w:rPr>
        <w:t xml:space="preserve">4.2. Régimen de contratación y presupuesto</w:t>
      </w:r>
    </w:p>
    <w:p>
      <w:pPr>
        <w:pStyle w:val="ListParagraph"/>
        <w:numPr>
          <w:ilvl w:val="0"/>
          <w:numId w:val="2"/>
        </w:numPr>
        <w:spacing w:after="90" w:line="276"/>
        <w:jc w:val="both"/>
      </w:pPr>
      <w:r>
        <w:rPr>
          <w:b/>
          <w:bCs/>
          <w:sz w:val="21"/>
          <w:szCs w:val="21"/>
        </w:rPr>
        <w:t xml:space="preserve">Ley 80 de 1993, artículos 2, 39 y 41.</w:t>
      </w:r>
      <w:r>
        <w:rPr>
          <w:sz w:val="21"/>
          <w:szCs w:val="21"/>
        </w:rPr>
        <w:t xml:space="preserve"> La ESAP, en tanto establecimiento público del orden nacional, es entidad estatal sometida al Estatuto General de Contratación de la Administración Pública. Los contratos estatales constan por escrito y se perfeccionan cuando se logra acuerdo sobre el objeto y la contraprestación y este se eleva a escrito. La solemnidad es norma imperativa: sin ella no hay contrato.</w:t>
      </w:r>
    </w:p>
    <w:p>
      <w:pPr>
        <w:pStyle w:val="ListParagraph"/>
        <w:numPr>
          <w:ilvl w:val="0"/>
          <w:numId w:val="2"/>
        </w:numPr>
        <w:spacing w:after="90" w:line="276"/>
        <w:jc w:val="both"/>
      </w:pPr>
      <w:r>
        <w:rPr>
          <w:b/>
          <w:bCs/>
          <w:sz w:val="21"/>
          <w:szCs w:val="21"/>
        </w:rPr>
        <w:t xml:space="preserve">Decreto 111 de 1996, artículo 71.</w:t>
      </w:r>
      <w:r>
        <w:rPr>
          <w:sz w:val="21"/>
          <w:szCs w:val="21"/>
        </w:rPr>
        <w:t xml:space="preserve"> Los actos que afecten apropiaciones presupuestales requieren certificado de disponibilidad previo y registro presupuestal. Cualquier compromiso adquirido con violación de estos preceptos </w:t>
      </w:r>
      <w:r>
        <w:rPr>
          <w:b/>
          <w:bCs/>
          <w:sz w:val="21"/>
          <w:szCs w:val="21"/>
        </w:rPr>
        <w:t xml:space="preserve">crea responsabilidad personal y pecuniaria</w:t>
      </w:r>
      <w:r>
        <w:rPr>
          <w:sz w:val="21"/>
          <w:szCs w:val="21"/>
        </w:rPr>
        <w:t xml:space="preserve"> a cargo de quien lo asuma. De ahí que el reconocimiento no pueda hacerse por acto administrativo de pago directo, sino a través de un título judicialmente aprobado.</w:t>
      </w:r>
    </w:p>
    <w:p>
      <w:pPr>
        <w:pStyle w:val="ListParagraph"/>
        <w:numPr>
          <w:ilvl w:val="0"/>
          <w:numId w:val="2"/>
        </w:numPr>
        <w:spacing w:after="90" w:line="276"/>
        <w:jc w:val="both"/>
      </w:pPr>
      <w:r>
        <w:rPr>
          <w:b/>
          <w:bCs/>
          <w:sz w:val="21"/>
          <w:szCs w:val="21"/>
        </w:rPr>
        <w:t xml:space="preserve">Constitución Política, artículo 122.</w:t>
      </w:r>
      <w:r>
        <w:rPr>
          <w:sz w:val="21"/>
          <w:szCs w:val="21"/>
        </w:rPr>
        <w:t xml:space="preserve"> No hay empleo público sin funciones detalladas en ley o reglamento, y para proveer los remunerados se requiere que estén en la planta y sus emolumentos previstos en el presupuesto. Los jurados externos no fueron ni pudieron ser empleados públicos.</w:t>
      </w:r>
    </w:p>
    <w:p>
      <w:pPr>
        <w:pStyle w:val="ListParagraph"/>
        <w:numPr>
          <w:ilvl w:val="0"/>
          <w:numId w:val="2"/>
        </w:numPr>
        <w:spacing w:after="90" w:line="276"/>
        <w:jc w:val="both"/>
      </w:pPr>
      <w:r>
        <w:rPr>
          <w:b/>
          <w:bCs/>
          <w:sz w:val="21"/>
          <w:szCs w:val="21"/>
        </w:rPr>
        <w:t xml:space="preserve">CPACA, artículo 140.</w:t>
      </w:r>
      <w:r>
        <w:rPr>
          <w:sz w:val="21"/>
          <w:szCs w:val="21"/>
        </w:rPr>
        <w:t xml:space="preserve"> Medio de control de reparación directa. </w:t>
      </w:r>
      <w:r>
        <w:rPr>
          <w:b/>
          <w:bCs/>
          <w:sz w:val="21"/>
          <w:szCs w:val="21"/>
        </w:rPr>
        <w:t xml:space="preserve">Artículo 164, numeral 2, literal i):</w:t>
      </w:r>
      <w:r>
        <w:rPr>
          <w:sz w:val="21"/>
          <w:szCs w:val="21"/>
        </w:rPr>
        <w:t xml:space="preserve"> caducidad de dos (2) años contados desde el día siguiente al de la ocurrencia del hecho u omisión.</w:t>
      </w:r>
    </w:p>
    <w:p>
      <w:pPr>
        <w:pStyle w:val="Heading2"/>
        <w:spacing w:after="120" w:before="240"/>
      </w:pPr>
      <w:r>
        <w:rPr>
          <w:b/>
          <w:bCs/>
          <w:color w:val="1F3864"/>
          <w:sz w:val="22"/>
          <w:szCs w:val="22"/>
        </w:rPr>
        <w:t xml:space="preserve">4.3. Jurisprudencia del Consejo de Estado — el punto que cambia el análisis</w:t>
      </w:r>
    </w:p>
    <w:p>
      <w:pPr>
        <w:spacing w:after="140" w:line="276"/>
        <w:jc w:val="both"/>
      </w:pPr>
      <w:r>
        <w:rPr>
          <w:sz w:val="21"/>
          <w:szCs w:val="21"/>
        </w:rPr>
        <w:t xml:space="preserve">La ficha de escenarios razona sobre las </w:t>
      </w:r>
      <w:r>
        <w:rPr>
          <w:b/>
          <w:bCs/>
          <w:sz w:val="21"/>
          <w:szCs w:val="21"/>
        </w:rPr>
        <w:t xml:space="preserve">tres causales taxativas</w:t>
      </w:r>
      <w:r>
        <w:rPr>
          <w:sz w:val="21"/>
          <w:szCs w:val="21"/>
        </w:rPr>
        <w:t xml:space="preserve"> —constreñimiento, urgencia manifiesta y buena fe exenta de culpa— fijadas por la sentencia de unificación de la Sala Plena de la Sección Tercera del 19 de noviembre de 2012, expediente 73001-23-31-000-2000-03075-01 (24.897), C.P. Jaime Orlando Santofimio Gamboa. </w:t>
      </w:r>
      <w:r>
        <w:rPr>
          <w:b/>
          <w:bCs/>
          <w:sz w:val="21"/>
          <w:szCs w:val="21"/>
        </w:rPr>
        <w:t xml:space="preserve">Ese marco fue superado.</w:t>
      </w:r>
    </w:p>
    <w:p>
      <w:pPr>
        <w:spacing w:after="140" w:line="276"/>
        <w:jc w:val="both"/>
      </w:pPr>
      <w:r>
        <w:rPr>
          <w:sz w:val="21"/>
          <w:szCs w:val="21"/>
        </w:rPr>
        <w:t xml:space="preserve">La </w:t>
      </w:r>
      <w:r>
        <w:rPr>
          <w:b/>
          <w:bCs/>
          <w:sz w:val="21"/>
          <w:szCs w:val="21"/>
        </w:rPr>
        <w:t xml:space="preserve">Sentencia de Unificación 2025CE-SUJ-3-001, del 31 de julio de 2025</w:t>
      </w:r>
      <w:r>
        <w:rPr>
          <w:sz w:val="21"/>
          <w:szCs w:val="21"/>
        </w:rPr>
        <w:t xml:space="preserve">, Sala de lo Contencioso Administrativo, Sección Tercera, Sala Plena, radicado 08001-23-33-000-2014-00442-01 (57.464), C.P. Fernando Alexei Pardo Flórez, unificó la jurisprudencia «en torno a la procedencia del enriquecimiento sin justa causa cuando se han ejecutado actividades sin el respaldo de un contrato, en favor de entidades que —en su gestión— deben aplicar el Estatuto General de Contratación Pública». Sus reglas, en lo pertinente: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1000"/>
        <w:gridCol w:w="8360"/>
      </w:tblGrid>
      <w:tr>
        <w:trPr>
          <w:tblHeader/>
        </w:trPr>
        <w:tc>
          <w:tcPr>
            <w:tcW w:type="dxa" w:w="10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Regla</w:t>
            </w:r>
          </w:p>
        </w:tc>
        <w:tc>
          <w:tcPr>
            <w:tcW w:type="dxa" w:w="83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Contenido</w:t>
            </w:r>
          </w:p>
        </w:tc>
      </w:tr>
      <w:tr>
        <w:trPr>
          <w:tblHeader w:val="false"/>
        </w:trPr>
        <w:tc>
          <w:tcPr>
            <w:tcW w:type="dxa" w:w="1000"/>
            <w:tcMar>
              <w:top w:type="dxa" w:w="80"/>
              <w:left w:type="dxa" w:w="110"/>
              <w:bottom w:type="dxa" w:w="80"/>
              <w:right w:type="dxa" w:w="110"/>
            </w:tcMar>
            <w:vAlign w:val="center"/>
          </w:tcPr>
          <w:p>
            <w:pPr>
              <w:spacing w:after="40" w:line="250"/>
              <w:jc w:val="left"/>
            </w:pPr>
            <w:r>
              <w:rPr>
                <w:sz w:val="18"/>
                <w:szCs w:val="18"/>
              </w:rPr>
              <w:t xml:space="preserve">81</w:t>
            </w:r>
          </w:p>
        </w:tc>
        <w:tc>
          <w:tcPr>
            <w:tcW w:type="dxa" w:w="8360"/>
            <w:tcMar>
              <w:top w:type="dxa" w:w="80"/>
              <w:left w:type="dxa" w:w="110"/>
              <w:bottom w:type="dxa" w:w="80"/>
              <w:right w:type="dxa" w:w="110"/>
            </w:tcMar>
            <w:vAlign w:val="center"/>
          </w:tcPr>
          <w:p>
            <w:pPr>
              <w:spacing w:after="40" w:line="250"/>
              <w:jc w:val="left"/>
            </w:pPr>
            <w:r>
              <w:rPr>
                <w:sz w:val="18"/>
                <w:szCs w:val="18"/>
              </w:rPr>
              <w:t xml:space="preserve">La pretensión se formula cumpliendo los presupuestos procesales de la </w:t>
            </w:r>
            <w:r>
              <w:rPr>
                <w:b/>
                <w:bCs/>
                <w:sz w:val="18"/>
                <w:szCs w:val="18"/>
              </w:rPr>
              <w:t xml:space="preserve">reparación directa</w:t>
            </w:r>
            <w:r>
              <w:rPr>
                <w:sz w:val="18"/>
                <w:szCs w:val="18"/>
              </w:rPr>
              <w:t xml:space="preserve">, ante la inexistencia de contrato o ante actividades desarrolladas tras agotarse el objeto de uno previo. Metodología excluyente y sucesiva: verificar (i) que no exista acuerdo de voluntades que fundamente la merma, y (ii) que el menoscabo no provenga de un hecho u omisión doloso o culposo causante de daño antijurídico.</w:t>
            </w:r>
          </w:p>
        </w:tc>
      </w:tr>
      <w:tr>
        <w:trPr>
          <w:tblHeader w:val="false"/>
        </w:trPr>
        <w:tc>
          <w:tcPr>
            <w:tcW w:type="dxa" w:w="1000"/>
            <w:shd w:fill="F2F4F8" w:color="auto" w:val="clear"/>
            <w:tcMar>
              <w:top w:type="dxa" w:w="80"/>
              <w:left w:type="dxa" w:w="110"/>
              <w:bottom w:type="dxa" w:w="80"/>
              <w:right w:type="dxa" w:w="110"/>
            </w:tcMar>
            <w:vAlign w:val="center"/>
          </w:tcPr>
          <w:p>
            <w:pPr>
              <w:spacing w:after="40" w:line="250"/>
              <w:jc w:val="left"/>
            </w:pPr>
            <w:r>
              <w:rPr>
                <w:sz w:val="18"/>
                <w:szCs w:val="18"/>
              </w:rPr>
              <w:t xml:space="preserve">82</w:t>
            </w:r>
          </w:p>
        </w:tc>
        <w:tc>
          <w:tcPr>
            <w:tcW w:type="dxa" w:w="8360"/>
            <w:shd w:fill="F2F4F8" w:color="auto" w:val="clear"/>
            <w:tcMar>
              <w:top w:type="dxa" w:w="80"/>
              <w:left w:type="dxa" w:w="110"/>
              <w:bottom w:type="dxa" w:w="80"/>
              <w:right w:type="dxa" w:w="110"/>
            </w:tcMar>
            <w:vAlign w:val="center"/>
          </w:tcPr>
          <w:p>
            <w:pPr>
              <w:spacing w:after="40" w:line="250"/>
              <w:jc w:val="left"/>
            </w:pPr>
            <w:r>
              <w:rPr>
                <w:sz w:val="18"/>
                <w:szCs w:val="18"/>
              </w:rPr>
              <w:t xml:space="preserve">La mención formal de otro medio de control —o su omisión— no impide tramitar la pretensión. No se exige provocar previamente una decisión de la administración contenida en acto administrativo.</w:t>
            </w:r>
          </w:p>
        </w:tc>
      </w:tr>
      <w:tr>
        <w:trPr>
          <w:tblHeader w:val="false"/>
        </w:trPr>
        <w:tc>
          <w:tcPr>
            <w:tcW w:type="dxa" w:w="1000"/>
            <w:tcMar>
              <w:top w:type="dxa" w:w="80"/>
              <w:left w:type="dxa" w:w="110"/>
              <w:bottom w:type="dxa" w:w="80"/>
              <w:right w:type="dxa" w:w="110"/>
            </w:tcMar>
            <w:vAlign w:val="center"/>
          </w:tcPr>
          <w:p>
            <w:pPr>
              <w:spacing w:after="40" w:line="250"/>
              <w:jc w:val="left"/>
            </w:pPr>
            <w:r>
              <w:rPr>
                <w:sz w:val="18"/>
                <w:szCs w:val="18"/>
              </w:rPr>
              <w:t xml:space="preserve">83</w:t>
            </w:r>
          </w:p>
        </w:tc>
        <w:tc>
          <w:tcPr>
            <w:tcW w:type="dxa" w:w="8360"/>
            <w:tcMar>
              <w:top w:type="dxa" w:w="80"/>
              <w:left w:type="dxa" w:w="110"/>
              <w:bottom w:type="dxa" w:w="80"/>
              <w:right w:type="dxa" w:w="110"/>
            </w:tcMar>
            <w:vAlign w:val="center"/>
          </w:tcPr>
          <w:p>
            <w:pPr>
              <w:spacing w:after="40" w:line="250"/>
              <w:jc w:val="left"/>
            </w:pPr>
            <w:r>
              <w:rPr>
                <w:sz w:val="18"/>
                <w:szCs w:val="18"/>
              </w:rPr>
              <w:t xml:space="preserve">La procedencia es </w:t>
            </w:r>
            <w:r>
              <w:rPr>
                <w:b/>
                <w:bCs/>
                <w:sz w:val="18"/>
                <w:szCs w:val="18"/>
              </w:rPr>
              <w:t xml:space="preserve">absolutamente excepcional</w:t>
            </w:r>
            <w:r>
              <w:rPr>
                <w:sz w:val="18"/>
                <w:szCs w:val="18"/>
              </w:rPr>
              <w:t xml:space="preserve"> y depende de que el interesado demuestre una </w:t>
            </w:r>
            <w:r>
              <w:rPr>
                <w:b/>
                <w:bCs/>
                <w:sz w:val="18"/>
                <w:szCs w:val="18"/>
              </w:rPr>
              <w:t xml:space="preserve">circunstancia extraordinaria, sustentada en razones de interés general</w:t>
            </w:r>
            <w:r>
              <w:rPr>
                <w:sz w:val="18"/>
                <w:szCs w:val="18"/>
              </w:rPr>
              <w:t xml:space="preserve">, que exigiese la prestación del servicio, y que </w:t>
            </w:r>
            <w:r>
              <w:rPr>
                <w:b/>
                <w:bCs/>
                <w:sz w:val="18"/>
                <w:szCs w:val="18"/>
              </w:rPr>
              <w:t xml:space="preserve">no era posible acudir a los mecanismos legales de selección</w:t>
            </w:r>
            <w:r>
              <w:rPr>
                <w:sz w:val="18"/>
                <w:szCs w:val="18"/>
              </w:rPr>
              <w:t xml:space="preserve">. La valoración debe soportarse en la conducta de las partes, </w:t>
            </w:r>
            <w:r>
              <w:rPr>
                <w:b/>
                <w:bCs/>
                <w:sz w:val="18"/>
                <w:szCs w:val="18"/>
              </w:rPr>
              <w:t xml:space="preserve">dando prevalencia a la conducta de buena fe y a la confianza que la administración haya generado en el interesado</w:t>
            </w:r>
            <w:r>
              <w:rPr>
                <w:sz w:val="18"/>
                <w:szCs w:val="18"/>
              </w:rPr>
              <w:t xml:space="preserve">, así como a la gravedad y urgencia de la continuación del servicio, el grado de conexidad con un contrato y la necesidad de ello.</w:t>
            </w:r>
          </w:p>
        </w:tc>
      </w:tr>
      <w:tr>
        <w:trPr>
          <w:tblHeader w:val="false"/>
        </w:trPr>
        <w:tc>
          <w:tcPr>
            <w:tcW w:type="dxa" w:w="1000"/>
            <w:shd w:fill="F2F4F8" w:color="auto" w:val="clear"/>
            <w:tcMar>
              <w:top w:type="dxa" w:w="80"/>
              <w:left w:type="dxa" w:w="110"/>
              <w:bottom w:type="dxa" w:w="80"/>
              <w:right w:type="dxa" w:w="110"/>
            </w:tcMar>
            <w:vAlign w:val="center"/>
          </w:tcPr>
          <w:p>
            <w:pPr>
              <w:spacing w:after="40" w:line="250"/>
              <w:jc w:val="left"/>
            </w:pPr>
            <w:r>
              <w:rPr>
                <w:sz w:val="18"/>
                <w:szCs w:val="18"/>
              </w:rPr>
              <w:t xml:space="preserve">84</w:t>
            </w:r>
          </w:p>
        </w:tc>
        <w:tc>
          <w:tcPr>
            <w:tcW w:type="dxa" w:w="8360"/>
            <w:shd w:fill="F2F4F8" w:color="auto" w:val="clear"/>
            <w:tcMar>
              <w:top w:type="dxa" w:w="80"/>
              <w:left w:type="dxa" w:w="110"/>
              <w:bottom w:type="dxa" w:w="80"/>
              <w:right w:type="dxa" w:w="110"/>
            </w:tcMar>
            <w:vAlign w:val="center"/>
          </w:tcPr>
          <w:p>
            <w:pPr>
              <w:spacing w:after="40" w:line="250"/>
              <w:jc w:val="left"/>
            </w:pPr>
            <w:r>
              <w:rPr>
                <w:sz w:val="18"/>
                <w:szCs w:val="18"/>
              </w:rPr>
              <w:t xml:space="preserve">Elementos concurrentes: (i) ventaja patrimonial de la entidad; (ii) empobrecimiento correlativo del reclamante, atribuible a ese acrecimiento; (iii) ausencia de causa jurídica del desequilibrio; (iv) carencia de cualquier otro mecanismo para reclamar (subsidiariedad); (v) que la compensación no busque soslayar una disposición imperativa.</w:t>
            </w:r>
          </w:p>
        </w:tc>
      </w:tr>
      <w:tr>
        <w:trPr>
          <w:tblHeader w:val="false"/>
        </w:trPr>
        <w:tc>
          <w:tcPr>
            <w:tcW w:type="dxa" w:w="1000"/>
            <w:tcMar>
              <w:top w:type="dxa" w:w="80"/>
              <w:left w:type="dxa" w:w="110"/>
              <w:bottom w:type="dxa" w:w="80"/>
              <w:right w:type="dxa" w:w="110"/>
            </w:tcMar>
            <w:vAlign w:val="center"/>
          </w:tcPr>
          <w:p>
            <w:pPr>
              <w:spacing w:after="40" w:line="250"/>
              <w:jc w:val="left"/>
            </w:pPr>
            <w:r>
              <w:rPr>
                <w:sz w:val="18"/>
                <w:szCs w:val="18"/>
              </w:rPr>
              <w:t xml:space="preserve">85</w:t>
            </w:r>
          </w:p>
        </w:tc>
        <w:tc>
          <w:tcPr>
            <w:tcW w:type="dxa" w:w="8360"/>
            <w:tcMar>
              <w:top w:type="dxa" w:w="80"/>
              <w:left w:type="dxa" w:w="110"/>
              <w:bottom w:type="dxa" w:w="80"/>
              <w:right w:type="dxa" w:w="110"/>
            </w:tcMar>
            <w:vAlign w:val="center"/>
          </w:tcPr>
          <w:p>
            <w:pPr>
              <w:spacing w:after="40" w:line="250"/>
              <w:jc w:val="left"/>
            </w:pPr>
            <w:r>
              <w:rPr>
                <w:sz w:val="18"/>
                <w:szCs w:val="18"/>
              </w:rPr>
              <w:t xml:space="preserve">El objeto es </w:t>
            </w:r>
            <w:r>
              <w:rPr>
                <w:b/>
                <w:bCs/>
                <w:sz w:val="18"/>
                <w:szCs w:val="18"/>
              </w:rPr>
              <w:t xml:space="preserve">corregir un traslado patrimonial injustificado, no indemnizar un daño</w:t>
            </w:r>
            <w:r>
              <w:rPr>
                <w:sz w:val="18"/>
                <w:szCs w:val="18"/>
              </w:rPr>
              <w:t xml:space="preserve">: sobre la base del empobrecimiento, «no se puede condenar sino hasta la porción en que efectivamente se enriqueció el demandado».</w:t>
            </w:r>
          </w:p>
        </w:tc>
      </w:tr>
      <w:tr>
        <w:trPr>
          <w:tblHeader w:val="false"/>
        </w:trPr>
        <w:tc>
          <w:tcPr>
            <w:tcW w:type="dxa" w:w="1000"/>
            <w:shd w:fill="F2F4F8" w:color="auto" w:val="clear"/>
            <w:tcMar>
              <w:top w:type="dxa" w:w="80"/>
              <w:left w:type="dxa" w:w="110"/>
              <w:bottom w:type="dxa" w:w="80"/>
              <w:right w:type="dxa" w:w="110"/>
            </w:tcMar>
            <w:vAlign w:val="center"/>
          </w:tcPr>
          <w:p>
            <w:pPr>
              <w:spacing w:after="40" w:line="250"/>
              <w:jc w:val="left"/>
            </w:pPr>
            <w:r>
              <w:rPr>
                <w:sz w:val="18"/>
                <w:szCs w:val="18"/>
              </w:rPr>
              <w:t xml:space="preserve">86</w:t>
            </w:r>
          </w:p>
        </w:tc>
        <w:tc>
          <w:tcPr>
            <w:tcW w:type="dxa" w:w="83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No hay lista taxativa.</w:t>
            </w:r>
            <w:r>
              <w:rPr>
                <w:sz w:val="18"/>
                <w:szCs w:val="18"/>
              </w:rPr>
              <w:t xml:space="preserve"> Corresponde al juez determinar la viabilidad según los elementos sustantivos y la conducta de las partes, previa prueba plena de la actividad y de la circunstancia excepcional. Expresamente: «no se podrá dejar de conceder lo pedido por el solo hecho de que el caso no se enmarque en los eventos ejemplificativos indicados en la sentencia del 19 de noviembre de 2012».</w:t>
            </w:r>
          </w:p>
        </w:tc>
      </w:tr>
      <w:tr>
        <w:trPr>
          <w:tblHeader w:val="false"/>
        </w:trPr>
        <w:tc>
          <w:tcPr>
            <w:tcW w:type="dxa" w:w="1000"/>
            <w:tcMar>
              <w:top w:type="dxa" w:w="80"/>
              <w:left w:type="dxa" w:w="110"/>
              <w:bottom w:type="dxa" w:w="80"/>
              <w:right w:type="dxa" w:w="110"/>
            </w:tcMar>
            <w:vAlign w:val="center"/>
          </w:tcPr>
          <w:p>
            <w:pPr>
              <w:spacing w:after="40" w:line="250"/>
              <w:jc w:val="left"/>
            </w:pPr>
            <w:r>
              <w:rPr>
                <w:sz w:val="18"/>
                <w:szCs w:val="18"/>
              </w:rPr>
              <w:t xml:space="preserve">87</w:t>
            </w:r>
          </w:p>
        </w:tc>
        <w:tc>
          <w:tcPr>
            <w:tcW w:type="dxa" w:w="8360"/>
            <w:tcMar>
              <w:top w:type="dxa" w:w="80"/>
              <w:left w:type="dxa" w:w="110"/>
              <w:bottom w:type="dxa" w:w="80"/>
              <w:right w:type="dxa" w:w="110"/>
            </w:tcMar>
            <w:vAlign w:val="center"/>
          </w:tcPr>
          <w:p>
            <w:pPr>
              <w:spacing w:after="40" w:line="250"/>
              <w:jc w:val="left"/>
            </w:pPr>
            <w:r>
              <w:rPr>
                <w:sz w:val="18"/>
                <w:szCs w:val="18"/>
              </w:rPr>
              <w:t xml:space="preserve">Si la ejecución sin contrato obedeció a </w:t>
            </w:r>
            <w:r>
              <w:rPr>
                <w:b/>
                <w:bCs/>
                <w:sz w:val="18"/>
                <w:szCs w:val="18"/>
              </w:rPr>
              <w:t xml:space="preserve">constreñimiento o imposición</w:t>
            </w:r>
            <w:r>
              <w:rPr>
                <w:sz w:val="18"/>
                <w:szCs w:val="18"/>
              </w:rPr>
              <w:t xml:space="preserve">, el asunto se analiza bajo responsabilidad extracontractual del Estado y </w:t>
            </w:r>
            <w:r>
              <w:rPr>
                <w:b/>
                <w:bCs/>
                <w:sz w:val="18"/>
                <w:szCs w:val="18"/>
              </w:rPr>
              <w:t xml:space="preserve">no</w:t>
            </w:r>
            <w:r>
              <w:rPr>
                <w:sz w:val="18"/>
                <w:szCs w:val="18"/>
              </w:rPr>
              <w:t xml:space="preserve"> como enriquecimiento sin justa causa. En ese evento la reparación «no se limita a la compensación (…) sino que habilita la </w:t>
            </w:r>
            <w:r>
              <w:rPr>
                <w:b/>
                <w:bCs/>
                <w:sz w:val="18"/>
                <w:szCs w:val="18"/>
              </w:rPr>
              <w:t xml:space="preserve">indemnización plena e integral</w:t>
            </w:r>
            <w:r>
              <w:rPr>
                <w:sz w:val="18"/>
                <w:szCs w:val="18"/>
              </w:rPr>
              <w:t xml:space="preserve"> de los perjuicios generados por la conducta irregular».</w:t>
            </w:r>
          </w:p>
        </w:tc>
      </w:tr>
    </w:tbl>
    <w:p>
      <w:pPr>
        <w:spacing w:after="140"/>
      </w:pPr>
    </w:p>
    <w:p>
      <w:pPr>
        <w:spacing w:after="140" w:line="276"/>
        <w:jc w:val="both"/>
      </w:pPr>
      <w:r>
        <w:rPr>
          <w:sz w:val="21"/>
          <w:szCs w:val="21"/>
        </w:rPr>
        <w:t xml:space="preserve">Se citan además, como refuerzo del carácter público de la función desempeñada: </w:t>
      </w:r>
      <w:r>
        <w:rPr>
          <w:b/>
          <w:bCs/>
          <w:sz w:val="21"/>
          <w:szCs w:val="21"/>
        </w:rPr>
        <w:t xml:space="preserve">Corte Constitucional, Sentencia C-037 de 2003</w:t>
      </w:r>
      <w:r>
        <w:rPr>
          <w:sz w:val="21"/>
          <w:szCs w:val="21"/>
        </w:rPr>
        <w:t xml:space="preserve"> (M.P. Álvaro Tafur Galvis), que admitió el control disciplinario sobre particulares a quienes se atribuye el ejercicio de funciones públicas; el </w:t>
      </w:r>
      <w:r>
        <w:rPr>
          <w:b/>
          <w:bCs/>
          <w:sz w:val="21"/>
          <w:szCs w:val="21"/>
        </w:rPr>
        <w:t xml:space="preserve">artículo 20 del Código Penal</w:t>
      </w:r>
      <w:r>
        <w:rPr>
          <w:sz w:val="21"/>
          <w:szCs w:val="21"/>
        </w:rPr>
        <w:t xml:space="preserve">, que reputa servidores públicos, para efectos penales, a «los particulares que ejerzan funciones públicas en forma permanente o transitoria»; y el </w:t>
      </w:r>
      <w:r>
        <w:rPr>
          <w:b/>
          <w:bCs/>
          <w:sz w:val="21"/>
          <w:szCs w:val="21"/>
        </w:rPr>
        <w:t xml:space="preserve">artículo 366 de la Constitución</w:t>
      </w:r>
      <w:r>
        <w:rPr>
          <w:sz w:val="21"/>
          <w:szCs w:val="21"/>
        </w:rPr>
        <w:t xml:space="preserve">, que sitúa la educación entre las necesidades insatisfechas cuya solución es objetivo fundamental de la actividad del Estado.</w:t>
      </w:r>
    </w:p>
    <w:p>
      <w:pPr>
        <w:pStyle w:val="Heading1"/>
        <w:spacing w:after="160" w:before="320"/>
      </w:pPr>
      <w:r>
        <w:rPr>
          <w:b/>
          <w:bCs/>
          <w:color w:val="1F3864"/>
          <w:sz w:val="26"/>
          <w:szCs w:val="26"/>
        </w:rPr>
        <w:t xml:space="preserve">5. Análisis de los escenarios planteados en la ficha</w:t>
      </w:r>
    </w:p>
    <w:tbl>
      <w:tblPr>
        <w:tblW w:type="dxa" w:w="9360"/>
        <w:tblBorders>
          <w:top w:val="single" w:color="1F3864" w:sz="6"/>
          <w:left w:val="single" w:color="1F3864" w:sz="6"/>
          <w:bottom w:val="single" w:color="1F3864" w:sz="6"/>
          <w:right w:val="single" w:color="1F3864" w:sz="6"/>
          <w:insideH w:val="none" w:color="auto" w:sz="0"/>
          <w:insideV w:val="none" w:color="auto" w:sz="0"/>
        </w:tblBorders>
        <w:tblLayout w:type="fixed"/>
      </w:tblPr>
      <w:tblGrid>
        <w:gridCol w:w="9360"/>
      </w:tblGrid>
      <w:tr>
        <w:tc>
          <w:tcPr>
            <w:tcW w:type="dxa" w:w="9360"/>
            <w:shd w:fill="FFF4E5" w:color="auto" w:val="clear"/>
            <w:tcMar>
              <w:top w:type="dxa" w:w="160"/>
              <w:left w:type="dxa" w:w="200"/>
              <w:bottom w:type="dxa" w:w="160"/>
              <w:right w:type="dxa" w:w="200"/>
            </w:tcMar>
          </w:tcPr>
          <w:p>
            <w:pPr>
              <w:spacing w:after="90"/>
            </w:pPr>
            <w:r>
              <w:rPr>
                <w:b/>
                <w:bCs/>
                <w:color w:val="1F3864"/>
                <w:sz w:val="21"/>
                <w:szCs w:val="21"/>
              </w:rPr>
              <w:t xml:space="preserve">Precisión previa: no son cuatro vías procesales, son cuatro títulos</w:t>
            </w:r>
          </w:p>
          <w:p>
            <w:pPr>
              <w:spacing w:after="80" w:line="264"/>
              <w:jc w:val="both"/>
            </w:pPr>
            <w:r>
              <w:rPr>
                <w:sz w:val="20"/>
                <w:szCs w:val="20"/>
              </w:rPr>
              <w:t xml:space="preserve">Los escenarios «contractual/enriquecimiento sin causa» y «hecho administrativo lesivo (artículo 140 del CPACA)» </w:t>
            </w:r>
            <w:r>
              <w:rPr>
                <w:b/>
                <w:bCs/>
                <w:sz w:val="20"/>
                <w:szCs w:val="20"/>
              </w:rPr>
              <w:t xml:space="preserve">no son alternativas procesales distintas</w:t>
            </w:r>
            <w:r>
              <w:rPr>
                <w:sz w:val="20"/>
                <w:szCs w:val="20"/>
              </w:rPr>
              <w:t xml:space="preserve">: ambos se ventilan por el mismo medio de control —la reparación directa—. Lo que cambia entre ellos es el </w:t>
            </w:r>
            <w:r>
              <w:rPr>
                <w:b/>
                <w:bCs/>
                <w:sz w:val="20"/>
                <w:szCs w:val="20"/>
              </w:rPr>
              <w:t xml:space="preserve">título de imputación</w:t>
            </w:r>
            <w:r>
              <w:rPr>
                <w:sz w:val="20"/>
                <w:szCs w:val="20"/>
              </w:rPr>
              <w:t xml:space="preserve"> y, sobre todo, </w:t>
            </w:r>
            <w:r>
              <w:rPr>
                <w:b/>
                <w:bCs/>
                <w:sz w:val="20"/>
                <w:szCs w:val="20"/>
              </w:rPr>
              <w:t xml:space="preserve">la medida de lo que se paga</w:t>
            </w:r>
            <w:r>
              <w:rPr>
                <w:sz w:val="20"/>
                <w:szCs w:val="20"/>
              </w:rPr>
              <w:t xml:space="preserve">: compensación limitada al enriquecimiento, en el primero; indemnización plena e integral de perjuicios, en el segundo. Esa diferencia es la que gobierna la decisión del Comité.</w:t>
            </w:r>
          </w:p>
        </w:tc>
      </w:tr>
    </w:tbl>
    <w:p>
      <w:pPr>
        <w:spacing w:after="160"/>
      </w:pPr>
    </w:p>
    <w:p>
      <w:pPr>
        <w:pStyle w:val="Heading2"/>
        <w:spacing w:after="120" w:before="240"/>
      </w:pPr>
      <w:r>
        <w:rPr>
          <w:b/>
          <w:bCs/>
          <w:color w:val="1F3864"/>
          <w:sz w:val="22"/>
          <w:szCs w:val="22"/>
        </w:rPr>
        <w:t xml:space="preserve">5.1. Enriquecimiento sin justa causa — escenario recomendado</w:t>
      </w:r>
    </w:p>
    <w:p>
      <w:pPr>
        <w:spacing w:after="140" w:line="276"/>
        <w:jc w:val="both"/>
      </w:pPr>
      <w:r>
        <w:rPr>
          <w:sz w:val="21"/>
          <w:szCs w:val="21"/>
        </w:rPr>
        <w:t xml:space="preserve">Es el título que mejor describe los hechos y el que menor exposición patrimonial genera para la entidad. Contrastados los elementos de la regla 84 con el caso: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2400"/>
        <w:gridCol w:w="3480"/>
        <w:gridCol w:w="3480"/>
      </w:tblGrid>
      <w:tr>
        <w:trPr>
          <w:tblHeader/>
        </w:trPr>
        <w:tc>
          <w:tcPr>
            <w:tcW w:type="dxa" w:w="24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Elemento (regla 84)</w:t>
            </w:r>
          </w:p>
        </w:tc>
        <w:tc>
          <w:tcPr>
            <w:tcW w:type="dxa" w:w="348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Exigencia</w:t>
            </w:r>
          </w:p>
        </w:tc>
        <w:tc>
          <w:tcPr>
            <w:tcW w:type="dxa" w:w="348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Situación en el caso</w:t>
            </w:r>
          </w:p>
        </w:tc>
      </w:tr>
      <w:tr>
        <w:trPr>
          <w:tblHeader w:val="false"/>
        </w:trPr>
        <w:tc>
          <w:tcPr>
            <w:tcW w:type="dxa" w:w="2400"/>
            <w:tcMar>
              <w:top w:type="dxa" w:w="80"/>
              <w:left w:type="dxa" w:w="110"/>
              <w:bottom w:type="dxa" w:w="80"/>
              <w:right w:type="dxa" w:w="110"/>
            </w:tcMar>
            <w:vAlign w:val="center"/>
          </w:tcPr>
          <w:p>
            <w:pPr>
              <w:spacing w:after="40" w:line="250"/>
              <w:jc w:val="left"/>
            </w:pPr>
            <w:r>
              <w:rPr>
                <w:sz w:val="18"/>
                <w:szCs w:val="18"/>
              </w:rPr>
              <w:t xml:space="preserve">(i) Ventaja patrimonial de la entidad</w:t>
            </w:r>
          </w:p>
        </w:tc>
        <w:tc>
          <w:tcPr>
            <w:tcW w:type="dxa" w:w="3480"/>
            <w:tcMar>
              <w:top w:type="dxa" w:w="80"/>
              <w:left w:type="dxa" w:w="110"/>
              <w:bottom w:type="dxa" w:w="80"/>
              <w:right w:type="dxa" w:w="110"/>
            </w:tcMar>
            <w:vAlign w:val="center"/>
          </w:tcPr>
          <w:p>
            <w:pPr>
              <w:spacing w:after="40" w:line="250"/>
              <w:jc w:val="left"/>
            </w:pPr>
            <w:r>
              <w:rPr>
                <w:sz w:val="18"/>
                <w:szCs w:val="18"/>
              </w:rPr>
              <w:t xml:space="preserve">Que la ESAP haya obtenido un provecho concreto.</w:t>
            </w:r>
          </w:p>
        </w:tc>
        <w:tc>
          <w:tcPr>
            <w:tcW w:type="dxa" w:w="3480"/>
            <w:tcMar>
              <w:top w:type="dxa" w:w="80"/>
              <w:left w:type="dxa" w:w="110"/>
              <w:bottom w:type="dxa" w:w="80"/>
              <w:right w:type="dxa" w:w="110"/>
            </w:tcMar>
            <w:vAlign w:val="center"/>
          </w:tcPr>
          <w:p>
            <w:pPr>
              <w:spacing w:after="40" w:line="250"/>
              <w:jc w:val="left"/>
            </w:pPr>
            <w:r>
              <w:rPr>
                <w:b/>
                <w:bCs/>
                <w:sz w:val="18"/>
                <w:szCs w:val="18"/>
              </w:rPr>
              <w:t xml:space="preserve">Acreditado.</w:t>
            </w:r>
            <w:r>
              <w:rPr>
                <w:sz w:val="18"/>
                <w:szCs w:val="18"/>
              </w:rPr>
              <w:t xml:space="preserve"> Las evaluaciones se incorporaron para fijar puntajes y fundamentar resoluciones hoy en firme. El provecho es doble: el resultado del concurso y el ahorro del costo que habría representado contratar a los jurados.</w:t>
            </w:r>
          </w:p>
        </w:tc>
      </w:tr>
      <w:tr>
        <w:trPr>
          <w:tblHeader w:val="false"/>
        </w:trPr>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(ii) Empobrecimiento correlativo</w:t>
            </w:r>
          </w:p>
        </w:tc>
        <w:tc>
          <w:tcPr>
            <w:tcW w:type="dxa" w:w="3480"/>
            <w:shd w:fill="F2F4F8" w:color="auto" w:val="clear"/>
            <w:tcMar>
              <w:top w:type="dxa" w:w="80"/>
              <w:left w:type="dxa" w:w="110"/>
              <w:bottom w:type="dxa" w:w="80"/>
              <w:right w:type="dxa" w:w="110"/>
            </w:tcMar>
            <w:vAlign w:val="center"/>
          </w:tcPr>
          <w:p>
            <w:pPr>
              <w:spacing w:after="40" w:line="250"/>
              <w:jc w:val="left"/>
            </w:pPr>
            <w:r>
              <w:rPr>
                <w:sz w:val="18"/>
                <w:szCs w:val="18"/>
              </w:rPr>
              <w:t xml:space="preserve">Detrimento del reclamante atribuible a esa ventaja.</w:t>
            </w:r>
          </w:p>
        </w:tc>
        <w:tc>
          <w:tcPr>
            <w:tcW w:type="dxa" w:w="348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Acreditable.</w:t>
            </w:r>
            <w:r>
              <w:rPr>
                <w:sz w:val="18"/>
                <w:szCs w:val="18"/>
              </w:rPr>
              <w:t xml:space="preserve"> Tiempo profesional, desplazamientos y conocimiento especializado aplicados en capacitaciones, sesiones de evaluación y diligenciamiento de instrumentos. Debe cuantificarse por jurado (sección 2).</w:t>
            </w:r>
          </w:p>
        </w:tc>
      </w:tr>
      <w:tr>
        <w:trPr>
          <w:tblHeader w:val="false"/>
        </w:trPr>
        <w:tc>
          <w:tcPr>
            <w:tcW w:type="dxa" w:w="2400"/>
            <w:tcMar>
              <w:top w:type="dxa" w:w="80"/>
              <w:left w:type="dxa" w:w="110"/>
              <w:bottom w:type="dxa" w:w="80"/>
              <w:right w:type="dxa" w:w="110"/>
            </w:tcMar>
            <w:vAlign w:val="center"/>
          </w:tcPr>
          <w:p>
            <w:pPr>
              <w:spacing w:after="40" w:line="250"/>
              <w:jc w:val="left"/>
            </w:pPr>
            <w:r>
              <w:rPr>
                <w:sz w:val="18"/>
                <w:szCs w:val="18"/>
              </w:rPr>
              <w:t xml:space="preserve">(iii) Ausencia de causa jurídica</w:t>
            </w:r>
          </w:p>
        </w:tc>
        <w:tc>
          <w:tcPr>
            <w:tcW w:type="dxa" w:w="3480"/>
            <w:tcMar>
              <w:top w:type="dxa" w:w="80"/>
              <w:left w:type="dxa" w:w="110"/>
              <w:bottom w:type="dxa" w:w="80"/>
              <w:right w:type="dxa" w:w="110"/>
            </w:tcMar>
            <w:vAlign w:val="center"/>
          </w:tcPr>
          <w:p>
            <w:pPr>
              <w:spacing w:after="40" w:line="250"/>
              <w:jc w:val="left"/>
            </w:pPr>
            <w:r>
              <w:rPr>
                <w:sz w:val="18"/>
                <w:szCs w:val="18"/>
              </w:rPr>
              <w:t xml:space="preserve">Que el desequilibrio no provenga de acto, hecho jurídico o disposición legal.</w:t>
            </w:r>
          </w:p>
        </w:tc>
        <w:tc>
          <w:tcPr>
            <w:tcW w:type="dxa" w:w="3480"/>
            <w:tcMar>
              <w:top w:type="dxa" w:w="80"/>
              <w:left w:type="dxa" w:w="110"/>
              <w:bottom w:type="dxa" w:w="80"/>
              <w:right w:type="dxa" w:w="110"/>
            </w:tcMar>
            <w:vAlign w:val="center"/>
          </w:tcPr>
          <w:p>
            <w:pPr>
              <w:spacing w:after="40" w:line="250"/>
              <w:jc w:val="left"/>
            </w:pPr>
            <w:r>
              <w:rPr>
                <w:b/>
                <w:bCs/>
                <w:sz w:val="18"/>
                <w:szCs w:val="18"/>
              </w:rPr>
              <w:t xml:space="preserve">Acreditado.</w:t>
            </w:r>
            <w:r>
              <w:rPr>
                <w:sz w:val="18"/>
                <w:szCs w:val="18"/>
              </w:rPr>
              <w:t xml:space="preserve"> No hay contrato, orden de servicio ni acto administrativo que soporte la prestación. La designación por correo institucional no constituye título obligacional.</w:t>
            </w:r>
          </w:p>
        </w:tc>
      </w:tr>
      <w:tr>
        <w:trPr>
          <w:tblHeader w:val="false"/>
        </w:trPr>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(iv) Subsidiariedad</w:t>
            </w:r>
          </w:p>
        </w:tc>
        <w:tc>
          <w:tcPr>
            <w:tcW w:type="dxa" w:w="3480"/>
            <w:shd w:fill="F2F4F8" w:color="auto" w:val="clear"/>
            <w:tcMar>
              <w:top w:type="dxa" w:w="80"/>
              <w:left w:type="dxa" w:w="110"/>
              <w:bottom w:type="dxa" w:w="80"/>
              <w:right w:type="dxa" w:w="110"/>
            </w:tcMar>
            <w:vAlign w:val="center"/>
          </w:tcPr>
          <w:p>
            <w:pPr>
              <w:spacing w:after="40" w:line="250"/>
              <w:jc w:val="left"/>
            </w:pPr>
            <w:r>
              <w:rPr>
                <w:sz w:val="18"/>
                <w:szCs w:val="18"/>
              </w:rPr>
              <w:t xml:space="preserve">Carencia de cualquier otro mecanismo para reclamar.</w:t>
            </w:r>
          </w:p>
        </w:tc>
        <w:tc>
          <w:tcPr>
            <w:tcW w:type="dxa" w:w="348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Acreditado.</w:t>
            </w:r>
            <w:r>
              <w:rPr>
                <w:sz w:val="18"/>
                <w:szCs w:val="18"/>
              </w:rPr>
              <w:t xml:space="preserve"> Sin contrato no hay acción contractual; sin acto administrativo de reconocimiento no hay nulidad y restablecimiento; sin título ejecutivo no hay proceso ejecutivo.</w:t>
            </w:r>
          </w:p>
        </w:tc>
      </w:tr>
      <w:tr>
        <w:trPr>
          <w:tblHeader w:val="false"/>
        </w:trPr>
        <w:tc>
          <w:tcPr>
            <w:tcW w:type="dxa" w:w="2400"/>
            <w:tcMar>
              <w:top w:type="dxa" w:w="80"/>
              <w:left w:type="dxa" w:w="110"/>
              <w:bottom w:type="dxa" w:w="80"/>
              <w:right w:type="dxa" w:w="110"/>
            </w:tcMar>
            <w:vAlign w:val="center"/>
          </w:tcPr>
          <w:p>
            <w:pPr>
              <w:spacing w:after="40" w:line="250"/>
              <w:jc w:val="left"/>
            </w:pPr>
            <w:r>
              <w:rPr>
                <w:sz w:val="18"/>
                <w:szCs w:val="18"/>
              </w:rPr>
              <w:t xml:space="preserve">(v) No soslayar norma imperativa</w:t>
            </w:r>
          </w:p>
        </w:tc>
        <w:tc>
          <w:tcPr>
            <w:tcW w:type="dxa" w:w="3480"/>
            <w:tcMar>
              <w:top w:type="dxa" w:w="80"/>
              <w:left w:type="dxa" w:w="110"/>
              <w:bottom w:type="dxa" w:w="80"/>
              <w:right w:type="dxa" w:w="110"/>
            </w:tcMar>
            <w:vAlign w:val="center"/>
          </w:tcPr>
          <w:p>
            <w:pPr>
              <w:spacing w:after="40" w:line="250"/>
              <w:jc w:val="left"/>
            </w:pPr>
            <w:r>
              <w:rPr>
                <w:sz w:val="18"/>
                <w:szCs w:val="18"/>
              </w:rPr>
              <w:t xml:space="preserve">Que la compensación no burle la solemnidad del contrato estatal.</w:t>
            </w:r>
          </w:p>
        </w:tc>
        <w:tc>
          <w:tcPr>
            <w:tcW w:type="dxa" w:w="3480"/>
            <w:tcMar>
              <w:top w:type="dxa" w:w="80"/>
              <w:left w:type="dxa" w:w="110"/>
              <w:bottom w:type="dxa" w:w="80"/>
              <w:right w:type="dxa" w:w="110"/>
            </w:tcMar>
            <w:vAlign w:val="center"/>
          </w:tcPr>
          <w:p>
            <w:pPr>
              <w:spacing w:after="40" w:line="250"/>
              <w:jc w:val="left"/>
            </w:pPr>
            <w:r>
              <w:rPr>
                <w:b/>
                <w:bCs/>
                <w:sz w:val="18"/>
                <w:szCs w:val="18"/>
              </w:rPr>
              <w:t xml:space="preserve">Satisfecho, con matiz.</w:t>
            </w:r>
            <w:r>
              <w:rPr>
                <w:sz w:val="18"/>
                <w:szCs w:val="18"/>
              </w:rPr>
              <w:t xml:space="preserve"> No se convalida contrato alguno ni se reconoce utilidad: se corrige un traslado patrimonial. La solemnidad de los artículos 39 y 41 de la Ley 80 permanece intacta y la omisión sigue siendo objeto de análisis disciplinario y fiscal.</w:t>
            </w:r>
          </w:p>
        </w:tc>
      </w:tr>
      <w:tr>
        <w:trPr>
          <w:tblHeader w:val="false"/>
        </w:trPr>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Circunstancia extraordinaria de interés general (regla 83)</w:t>
            </w:r>
          </w:p>
        </w:tc>
        <w:tc>
          <w:tcPr>
            <w:tcW w:type="dxa" w:w="3480"/>
            <w:shd w:fill="F2F4F8" w:color="auto" w:val="clear"/>
            <w:tcMar>
              <w:top w:type="dxa" w:w="80"/>
              <w:left w:type="dxa" w:w="110"/>
              <w:bottom w:type="dxa" w:w="80"/>
              <w:right w:type="dxa" w:w="110"/>
            </w:tcMar>
            <w:vAlign w:val="center"/>
          </w:tcPr>
          <w:p>
            <w:pPr>
              <w:spacing w:after="40" w:line="250"/>
              <w:jc w:val="left"/>
            </w:pPr>
            <w:r>
              <w:rPr>
                <w:sz w:val="18"/>
                <w:szCs w:val="18"/>
              </w:rPr>
              <w:t xml:space="preserve">Prueba de que no era posible acudir a los mecanismos legales de selección.</w:t>
            </w:r>
          </w:p>
        </w:tc>
        <w:tc>
          <w:tcPr>
            <w:tcW w:type="dxa" w:w="348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Es el punto débil.</w:t>
            </w:r>
            <w:r>
              <w:rPr>
                <w:sz w:val="18"/>
                <w:szCs w:val="18"/>
              </w:rPr>
              <w:t xml:space="preserve"> Ver el análisis inmediatamente siguiente.</w:t>
            </w:r>
          </w:p>
        </w:tc>
      </w:tr>
    </w:tbl>
    <w:p>
      <w:pPr>
        <w:spacing w:after="160"/>
      </w:pPr>
    </w:p>
    <w:p>
      <w:pPr>
        <w:pStyle w:val="Heading2"/>
        <w:spacing w:after="120" w:before="240"/>
      </w:pPr>
      <w:r>
        <w:rPr>
          <w:b/>
          <w:bCs/>
          <w:color w:val="1F3864"/>
          <w:sz w:val="22"/>
          <w:szCs w:val="22"/>
        </w:rPr>
        <w:t xml:space="preserve">5.2. El punto débil, dicho sin rodeos</w:t>
      </w:r>
    </w:p>
    <w:p>
      <w:pPr>
        <w:spacing w:after="140" w:line="276"/>
        <w:jc w:val="both"/>
      </w:pPr>
      <w:r>
        <w:rPr>
          <w:sz w:val="21"/>
          <w:szCs w:val="21"/>
        </w:rPr>
        <w:t xml:space="preserve">La regla 83 exige que resulte probado que </w:t>
      </w:r>
      <w:r>
        <w:rPr>
          <w:b/>
          <w:bCs/>
          <w:sz w:val="21"/>
          <w:szCs w:val="21"/>
        </w:rPr>
        <w:t xml:space="preserve">no era posible acudir a los mecanismos que la ley regula para escoger un contratista</w:t>
      </w:r>
      <w:r>
        <w:rPr>
          <w:sz w:val="21"/>
          <w:szCs w:val="21"/>
        </w:rPr>
        <w:t xml:space="preserve">. En este caso la ESAP disponía de tiempo, de planeación y de las modalidades ordinarias de selección: el concurso fue convocado por resolución y su cronograma fue objeto de modificación expresa. Un juez podría concluir que la contratación era perfectamente posible y que la omisión es imputable exclusivamente a la entidad. La ficha de escenarios no registra esta objeción y debe registrarse.</w:t>
      </w:r>
    </w:p>
    <w:p>
      <w:pPr>
        <w:spacing w:after="140" w:line="276"/>
        <w:jc w:val="both"/>
      </w:pPr>
      <w:r>
        <w:rPr>
          <w:sz w:val="21"/>
          <w:szCs w:val="21"/>
        </w:rPr>
        <w:t xml:space="preserve">Ahora bien, la propia regla 83 ordena valorar ese requisito «dando prevalencia a la conducta de buena fe de cara a la actividad ejecutada y </w:t>
      </w:r>
      <w:r>
        <w:rPr>
          <w:b/>
          <w:bCs/>
          <w:sz w:val="21"/>
          <w:szCs w:val="21"/>
        </w:rPr>
        <w:t xml:space="preserve">la confianza que pueda haber generado la administración sobre el interesado</w:t>
      </w:r>
      <w:r>
        <w:rPr>
          <w:sz w:val="21"/>
          <w:szCs w:val="21"/>
        </w:rPr>
        <w:t xml:space="preserve">», junto con «la gravedad y urgencia en la continuación de la prestación de un servicio» y «la necesidad de ello». Sobre esa base, los argumentos de la entidad convocada son:</w:t>
      </w:r>
    </w:p>
    <w:p>
      <w:pPr>
        <w:pStyle w:val="ListParagraph"/>
        <w:numPr>
          <w:ilvl w:val="0"/>
          <w:numId w:val="2"/>
        </w:numPr>
        <w:spacing w:after="90" w:line="276"/>
        <w:jc w:val="both"/>
      </w:pPr>
      <w:r>
        <w:rPr>
          <w:b/>
          <w:bCs/>
          <w:sz w:val="21"/>
          <w:szCs w:val="21"/>
        </w:rPr>
        <w:t xml:space="preserve">Confianza legítima creada por actos propios, claros y unívocos de la ESAP.</w:t>
      </w:r>
      <w:r>
        <w:rPr>
          <w:sz w:val="21"/>
          <w:szCs w:val="21"/>
        </w:rPr>
        <w:t xml:space="preserve"> La entidad designó por correo institucional, capacitó en dos sesiones, entregó las rúbricas, programó las sesiones, recibió los instrumentos suscritos y </w:t>
      </w:r>
      <w:r>
        <w:rPr>
          <w:b/>
          <w:bCs/>
          <w:sz w:val="21"/>
          <w:szCs w:val="21"/>
        </w:rPr>
        <w:t xml:space="preserve">usó los resultados</w:t>
      </w:r>
      <w:r>
        <w:rPr>
          <w:sz w:val="21"/>
          <w:szCs w:val="21"/>
        </w:rPr>
        <w:t xml:space="preserve">. Cualquier profesional razonable habría entendido que el trámite contractual estaba perfeccionado o en vías de regularización.</w:t>
      </w:r>
    </w:p>
    <w:p>
      <w:pPr>
        <w:pStyle w:val="ListParagraph"/>
        <w:numPr>
          <w:ilvl w:val="0"/>
          <w:numId w:val="2"/>
        </w:numPr>
        <w:spacing w:after="90" w:line="276"/>
        <w:jc w:val="both"/>
      </w:pPr>
      <w:r>
        <w:rPr>
          <w:b/>
          <w:bCs/>
          <w:sz w:val="21"/>
          <w:szCs w:val="21"/>
        </w:rPr>
        <w:t xml:space="preserve">Buena fe exenta de culpa de los jurados.</w:t>
      </w:r>
      <w:r>
        <w:rPr>
          <w:sz w:val="21"/>
          <w:szCs w:val="21"/>
        </w:rPr>
        <w:t xml:space="preserve"> Son profesionales con experiencia académica, convocados por la entidad; no participaron en la decisión de no contratar ni tenían el deber ni la posibilidad de verificar la existencia del CDP. La omisión es de la administración y no puede trasladarse como carga pública desproporcionada a quien entregó su trabajo.</w:t>
      </w:r>
    </w:p>
    <w:p>
      <w:pPr>
        <w:pStyle w:val="ListParagraph"/>
        <w:numPr>
          <w:ilvl w:val="0"/>
          <w:numId w:val="2"/>
        </w:numPr>
        <w:spacing w:after="90" w:line="276"/>
        <w:jc w:val="both"/>
      </w:pPr>
      <w:r>
        <w:rPr>
          <w:b/>
          <w:bCs/>
          <w:sz w:val="21"/>
          <w:szCs w:val="21"/>
        </w:rPr>
        <w:t xml:space="preserve">Imposibilidad material de detener la etapa evaluativa.</w:t>
      </w:r>
      <w:r>
        <w:rPr>
          <w:sz w:val="21"/>
          <w:szCs w:val="21"/>
        </w:rPr>
        <w:t xml:space="preserve"> Suspender la evaluación para tramitar la contratación habría comprometido el cronograma reglado del concurso, los derechos de los aspirantes y el principio de mérito (artículo 125 de la Constitución). La continuidad de la prestación era, en los términos de la regla 83, grave y urgente.</w:t>
      </w:r>
    </w:p>
    <w:p>
      <w:pPr>
        <w:pStyle w:val="ListParagraph"/>
        <w:numPr>
          <w:ilvl w:val="0"/>
          <w:numId w:val="2"/>
        </w:numPr>
        <w:spacing w:after="90" w:line="276"/>
        <w:jc w:val="both"/>
      </w:pPr>
      <w:r>
        <w:rPr>
          <w:b/>
          <w:bCs/>
          <w:sz w:val="21"/>
          <w:szCs w:val="21"/>
        </w:rPr>
        <w:t xml:space="preserve">Conexidad e interés general.</w:t>
      </w:r>
      <w:r>
        <w:rPr>
          <w:sz w:val="21"/>
          <w:szCs w:val="21"/>
        </w:rPr>
        <w:t xml:space="preserve"> La actividad no fue un servicio cualquiera: consistió en la valoración de la idoneidad de aspirantes a cargos docentes de una institución estatal de educación superior. Es actividad instrumental al ejercicio de una función pública y a la prestación del servicio público de educación (artículos 67 y 366 de la Constitución).</w:t>
      </w:r>
    </w:p>
    <w:p>
      <w:pPr>
        <w:spacing w:after="120"/>
      </w:pPr>
    </w:p>
    <w:tbl>
      <w:tblPr>
        <w:tblW w:type="dxa" w:w="9360"/>
        <w:tblBorders>
          <w:top w:val="single" w:color="1F3864" w:sz="6"/>
          <w:left w:val="single" w:color="1F3864" w:sz="6"/>
          <w:bottom w:val="single" w:color="1F3864" w:sz="6"/>
          <w:right w:val="single" w:color="1F3864" w:sz="6"/>
          <w:insideH w:val="none" w:color="auto" w:sz="0"/>
          <w:insideV w:val="none" w:color="auto" w:sz="0"/>
        </w:tblBorders>
        <w:tblLayout w:type="fixed"/>
      </w:tblPr>
      <w:tblGrid>
        <w:gridCol w:w="9360"/>
      </w:tblGrid>
      <w:tr>
        <w:tc>
          <w:tcPr>
            <w:tcW w:type="dxa" w:w="9360"/>
            <w:shd w:fill="FDEEEE" w:color="auto" w:val="clear"/>
            <w:tcMar>
              <w:top w:type="dxa" w:w="160"/>
              <w:left w:type="dxa" w:w="200"/>
              <w:bottom w:type="dxa" w:w="160"/>
              <w:right w:type="dxa" w:w="200"/>
            </w:tcMar>
          </w:tcPr>
          <w:p>
            <w:pPr>
              <w:spacing w:after="90"/>
            </w:pPr>
            <w:r>
              <w:rPr>
                <w:b/>
                <w:bCs/>
                <w:color w:val="1F3864"/>
                <w:sz w:val="21"/>
                <w:szCs w:val="21"/>
              </w:rPr>
              <w:t xml:space="preserve">El argumento decisivo de conveniencia</w:t>
            </w:r>
          </w:p>
          <w:p>
            <w:pPr>
              <w:spacing w:after="80" w:line="264"/>
              <w:jc w:val="both"/>
            </w:pPr>
            <w:r>
              <w:rPr>
                <w:sz w:val="20"/>
                <w:szCs w:val="20"/>
              </w:rPr>
              <w:t xml:space="preserve">Si el juez acoge la objeción —«la ESAP sí podía contratar»— </w:t>
            </w:r>
            <w:r>
              <w:rPr>
                <w:b/>
                <w:bCs/>
                <w:sz w:val="20"/>
                <w:szCs w:val="20"/>
              </w:rPr>
              <w:t xml:space="preserve">no absuelve a la entidad: la traslada al régimen más gravoso</w:t>
            </w:r>
            <w:r>
              <w:rPr>
                <w:sz w:val="20"/>
                <w:szCs w:val="20"/>
              </w:rPr>
              <w:t xml:space="preserve">. Conforme a las reglas 81(ii) y 87 de la unificación de 2025, una omisión culposa de la administración causante de un daño antijurídico se juzga como </w:t>
            </w:r>
            <w:r>
              <w:rPr>
                <w:b/>
                <w:bCs/>
                <w:sz w:val="20"/>
                <w:szCs w:val="20"/>
              </w:rPr>
              <w:t xml:space="preserve">falla del servicio</w:t>
            </w:r>
            <w:r>
              <w:rPr>
                <w:sz w:val="20"/>
                <w:szCs w:val="20"/>
              </w:rPr>
              <w:t xml:space="preserve">, y allí la reparación deja de estar limitada al enriquecimiento efectivo y se convierte en </w:t>
            </w:r>
            <w:r>
              <w:rPr>
                <w:b/>
                <w:bCs/>
                <w:sz w:val="20"/>
                <w:szCs w:val="20"/>
              </w:rPr>
              <w:t xml:space="preserve">indemnización plena e integral</w:t>
            </w:r>
            <w:r>
              <w:rPr>
                <w:sz w:val="20"/>
                <w:szCs w:val="20"/>
              </w:rPr>
              <w:t xml:space="preserve"> de los perjuicios. En otras palabras: el mismo hecho que debilita la pretensión de compensación fortalece la de responsabilidad. La entidad está expuesta por las dos vías, y solo en una de ellas puede controlar el monto.</w:t>
            </w:r>
          </w:p>
        </w:tc>
      </w:tr>
    </w:tbl>
    <w:p>
      <w:pPr>
        <w:spacing w:after="160"/>
      </w:pPr>
    </w:p>
    <w:p>
      <w:pPr>
        <w:pStyle w:val="Heading2"/>
        <w:spacing w:after="120" w:before="240"/>
      </w:pPr>
      <w:r>
        <w:rPr>
          <w:b/>
          <w:bCs/>
          <w:color w:val="1F3864"/>
          <w:sz w:val="22"/>
          <w:szCs w:val="22"/>
        </w:rPr>
        <w:t xml:space="preserve">5.3. Escenario laboral — debe descartarse expresamente</w:t>
      </w:r>
    </w:p>
    <w:p>
      <w:pPr>
        <w:spacing w:after="140" w:line="276"/>
        <w:jc w:val="both"/>
      </w:pPr>
      <w:r>
        <w:rPr>
          <w:sz w:val="21"/>
          <w:szCs w:val="21"/>
        </w:rPr>
        <w:t xml:space="preserve">No se configura relación laboral ni «contrato realidad», y la posición institucional debe consignarlo de forma expresa en el acta:</w:t>
      </w:r>
    </w:p>
    <w:p>
      <w:pPr>
        <w:pStyle w:val="ListParagraph"/>
        <w:numPr>
          <w:ilvl w:val="0"/>
          <w:numId w:val="2"/>
        </w:numPr>
        <w:spacing w:after="90" w:line="276"/>
        <w:jc w:val="both"/>
      </w:pPr>
      <w:r>
        <w:rPr>
          <w:b/>
          <w:bCs/>
          <w:sz w:val="21"/>
          <w:szCs w:val="21"/>
        </w:rPr>
        <w:t xml:space="preserve">No hay subordinación continuada.</w:t>
      </w:r>
      <w:r>
        <w:rPr>
          <w:sz w:val="21"/>
          <w:szCs w:val="21"/>
        </w:rPr>
        <w:t xml:space="preserve"> La sujeción a rúbricas y a una metodología es propia de la naturaleza técnica y reglada de la evaluación, no de la potestad subordinante del empleador. Los jurados intervinieron en sesiones puntuales y previamente programadas, conservando plena autonomía en el juicio evaluativo.</w:t>
      </w:r>
    </w:p>
    <w:p>
      <w:pPr>
        <w:pStyle w:val="ListParagraph"/>
        <w:numPr>
          <w:ilvl w:val="0"/>
          <w:numId w:val="2"/>
        </w:numPr>
        <w:spacing w:after="90" w:line="276"/>
        <w:jc w:val="both"/>
      </w:pPr>
      <w:r>
        <w:rPr>
          <w:b/>
          <w:bCs/>
          <w:sz w:val="21"/>
          <w:szCs w:val="21"/>
        </w:rPr>
        <w:t xml:space="preserve">No hay ni podía haber empleo público.</w:t>
      </w:r>
      <w:r>
        <w:rPr>
          <w:sz w:val="21"/>
          <w:szCs w:val="21"/>
        </w:rPr>
        <w:t xml:space="preserve"> El artículo 122 de la Constitución exige planta, funciones detalladas y emolumentos presupuestados; ninguna de esas condiciones concurre. Tampoco hubo nombramiento ni posesión.</w:t>
      </w:r>
    </w:p>
    <w:p>
      <w:pPr>
        <w:pStyle w:val="ListParagraph"/>
        <w:numPr>
          <w:ilvl w:val="0"/>
          <w:numId w:val="2"/>
        </w:numPr>
        <w:spacing w:after="90" w:line="276"/>
        <w:jc w:val="both"/>
      </w:pPr>
      <w:r>
        <w:rPr>
          <w:b/>
          <w:bCs/>
          <w:sz w:val="21"/>
          <w:szCs w:val="21"/>
        </w:rPr>
        <w:t xml:space="preserve">Consecuencia práctica.</w:t>
      </w:r>
      <w:r>
        <w:rPr>
          <w:sz w:val="21"/>
          <w:szCs w:val="21"/>
        </w:rPr>
        <w:t xml:space="preserve"> Aceptar este título abriría el reconocimiento de prestaciones sociales, aportes al sistema de seguridad social y una eventual prescripción trienal renovable por reclamaciones sucesivas. Multiplicaría el pasivo y crearía precedente frente a todos los pares y evaluadores externos de la entidad.</w:t>
      </w:r>
    </w:p>
    <w:p>
      <w:pPr>
        <w:pStyle w:val="ListParagraph"/>
        <w:numPr>
          <w:ilvl w:val="0"/>
          <w:numId w:val="2"/>
        </w:numPr>
        <w:spacing w:after="90" w:line="276"/>
        <w:jc w:val="both"/>
      </w:pPr>
      <w:r>
        <w:rPr>
          <w:b/>
          <w:bCs/>
          <w:sz w:val="21"/>
          <w:szCs w:val="21"/>
        </w:rPr>
        <w:t xml:space="preserve">Límite legal de la conciliación.</w:t>
      </w:r>
      <w:r>
        <w:rPr>
          <w:sz w:val="21"/>
          <w:szCs w:val="21"/>
        </w:rPr>
        <w:t xml:space="preserve"> El artículo 89 de la Ley 2220 de 2022 solo permite conciliar en materia laboral y de seguridad social si el acuerdo no afecta </w:t>
      </w:r>
      <w:r>
        <w:rPr>
          <w:b/>
          <w:bCs/>
          <w:sz w:val="21"/>
          <w:szCs w:val="21"/>
        </w:rPr>
        <w:t xml:space="preserve">derechos ciertos e indiscutibles</w:t>
      </w:r>
      <w:r>
        <w:rPr>
          <w:sz w:val="21"/>
          <w:szCs w:val="21"/>
        </w:rPr>
        <w:t xml:space="preserve">. Conciliar bajo ese título sería, además, jurídicamente inseguro.</w:t>
      </w:r>
    </w:p>
    <w:p>
      <w:pPr>
        <w:spacing w:after="120"/>
      </w:pPr>
    </w:p>
    <w:tbl>
      <w:tblPr>
        <w:tblW w:type="dxa" w:w="9360"/>
        <w:tblBorders>
          <w:top w:val="single" w:color="1F3864" w:sz="6"/>
          <w:left w:val="single" w:color="1F3864" w:sz="6"/>
          <w:bottom w:val="single" w:color="1F3864" w:sz="6"/>
          <w:right w:val="single" w:color="1F3864" w:sz="6"/>
          <w:insideH w:val="none" w:color="auto" w:sz="0"/>
          <w:insideV w:val="none" w:color="auto" w:sz="0"/>
        </w:tblBorders>
        <w:tblLayout w:type="fixed"/>
      </w:tblPr>
      <w:tblGrid>
        <w:gridCol w:w="9360"/>
      </w:tblGrid>
      <w:tr>
        <w:tc>
          <w:tcPr>
            <w:tcW w:type="dxa" w:w="9360"/>
            <w:shd w:fill="EAF3EA" w:color="auto" w:val="clear"/>
            <w:tcMar>
              <w:top w:type="dxa" w:w="160"/>
              <w:left w:type="dxa" w:w="200"/>
              <w:bottom w:type="dxa" w:w="160"/>
              <w:right w:type="dxa" w:w="200"/>
            </w:tcMar>
          </w:tcPr>
          <w:p>
            <w:pPr>
              <w:spacing w:after="90"/>
            </w:pPr>
            <w:r>
              <w:rPr>
                <w:b/>
                <w:bCs/>
                <w:color w:val="1F3864"/>
                <w:sz w:val="21"/>
                <w:szCs w:val="21"/>
              </w:rPr>
              <w:t xml:space="preserve">Respuesta a la pregunta sobre salud y pensiones</w:t>
            </w:r>
          </w:p>
          <w:p>
            <w:pPr>
              <w:spacing w:after="80" w:line="264"/>
              <w:jc w:val="both"/>
            </w:pPr>
            <w:r>
              <w:rPr>
                <w:sz w:val="20"/>
                <w:szCs w:val="20"/>
              </w:rPr>
              <w:t xml:space="preserve">La compensación por enriquecimiento sin justa causa </w:t>
            </w:r>
            <w:r>
              <w:rPr>
                <w:b/>
                <w:bCs/>
                <w:sz w:val="20"/>
                <w:szCs w:val="20"/>
              </w:rPr>
              <w:t xml:space="preserve">no es salario ni honorario</w:t>
            </w:r>
            <w:r>
              <w:rPr>
                <w:sz w:val="20"/>
                <w:szCs w:val="20"/>
              </w:rPr>
              <w:t xml:space="preserve">: no hay empleador ni contratante, no hay contrato de trabajo ni de prestación de servicios. En consecuencia, </w:t>
            </w:r>
            <w:r>
              <w:rPr>
                <w:b/>
                <w:bCs/>
                <w:sz w:val="20"/>
                <w:szCs w:val="20"/>
              </w:rPr>
              <w:t xml:space="preserve">no procede el reconocimiento ni el pago de aportes patronales a salud y pensión, ni afiliación alguna a cargo de la ESAP</w:t>
            </w:r>
            <w:r>
              <w:rPr>
                <w:sz w:val="20"/>
                <w:szCs w:val="20"/>
              </w:rPr>
              <w:t xml:space="preserve">, y tampoco resulta aplicable la regla de aportes de los contratistas independientes, que presupone un contrato vigente.</w:t>
            </w:r>
          </w:p>
          <w:p>
            <w:pPr>
              <w:spacing w:after="80" w:line="264"/>
              <w:jc w:val="both"/>
            </w:pPr>
            <w:r>
              <w:rPr>
                <w:sz w:val="20"/>
                <w:szCs w:val="20"/>
              </w:rPr>
              <w:t xml:space="preserve">Lo que sí debe verificarse con la Subdirección Administrativa y Financiera es el </w:t>
            </w:r>
            <w:r>
              <w:rPr>
                <w:b/>
                <w:bCs/>
                <w:sz w:val="20"/>
                <w:szCs w:val="20"/>
              </w:rPr>
              <w:t xml:space="preserve">tratamiento tributario del pago</w:t>
            </w:r>
            <w:r>
              <w:rPr>
                <w:sz w:val="20"/>
                <w:szCs w:val="20"/>
              </w:rPr>
              <w:t xml:space="preserve"> (naturaleza del ingreso para el beneficiario y retención en la fuente aplicable). Se recomienda obtener concepto interno antes de suscribir el acta y no describir la suma como «honorarios» en ningún documento.</w:t>
            </w:r>
          </w:p>
        </w:tc>
      </w:tr>
    </w:tbl>
    <w:p>
      <w:pPr>
        <w:spacing w:after="160"/>
      </w:pPr>
    </w:p>
    <w:p>
      <w:pPr>
        <w:pStyle w:val="Heading2"/>
        <w:spacing w:after="120" w:before="240"/>
      </w:pPr>
      <w:r>
        <w:rPr>
          <w:b/>
          <w:bCs/>
          <w:color w:val="1F3864"/>
          <w:sz w:val="22"/>
          <w:szCs w:val="22"/>
        </w:rPr>
        <w:t xml:space="preserve">5.4. Hecho administrativo lesivo — escenario a evitar, no a promover</w:t>
      </w:r>
    </w:p>
    <w:p>
      <w:pPr>
        <w:spacing w:after="140" w:line="276"/>
        <w:jc w:val="both"/>
      </w:pPr>
      <w:r>
        <w:rPr>
          <w:sz w:val="21"/>
          <w:szCs w:val="21"/>
        </w:rPr>
        <w:t xml:space="preserve">La ficha lo trata como una alternativa favorable, apoyada en el beneficio de la entidad y la imputabilidad de la falta de formalidad a la administración. Ambos elementos son ciertos, pero conducen a la </w:t>
      </w:r>
      <w:r>
        <w:rPr>
          <w:b/>
          <w:bCs/>
          <w:sz w:val="21"/>
          <w:szCs w:val="21"/>
        </w:rPr>
        <w:t xml:space="preserve">falla del servicio</w:t>
      </w:r>
      <w:r>
        <w:rPr>
          <w:sz w:val="21"/>
          <w:szCs w:val="21"/>
        </w:rPr>
        <w:t xml:space="preserve">, es decir, al escenario más costoso: indemnización plena e integral, eventual reconocimiento de perjuicios morales, intereses y actualización, más costas y agencias en derecho. En la propia unificación de 2025 la parte vencida fue condenada en costas por $18.240.000 en dos instancias.</w:t>
      </w:r>
    </w:p>
    <w:p>
      <w:pPr>
        <w:spacing w:after="140" w:line="276"/>
        <w:jc w:val="both"/>
      </w:pPr>
      <w:r>
        <w:rPr>
          <w:sz w:val="21"/>
          <w:szCs w:val="21"/>
        </w:rPr>
        <w:t xml:space="preserve">La posición institucional debe, por tanto, </w:t>
      </w:r>
      <w:r>
        <w:rPr>
          <w:b/>
          <w:bCs/>
          <w:sz w:val="21"/>
          <w:szCs w:val="21"/>
        </w:rPr>
        <w:t xml:space="preserve">reconocer los hechos y conciliar bajo el título de compensación</w:t>
      </w:r>
      <w:r>
        <w:rPr>
          <w:sz w:val="21"/>
          <w:szCs w:val="21"/>
        </w:rPr>
        <w:t xml:space="preserve">, evitando expresamente calificar la actuación de la ESAP como constreñimiento o imposición, que es lo que activa la regla 87.</w:t>
      </w:r>
    </w:p>
    <w:p>
      <w:pPr>
        <w:spacing w:after="160"/>
      </w:pPr>
    </w:p>
    <w:p>
      <w:pPr>
        <w:pStyle w:val="Heading2"/>
        <w:spacing w:after="120" w:before="240"/>
      </w:pPr>
      <w:r>
        <w:rPr>
          <w:b/>
          <w:bCs/>
          <w:color w:val="1F3864"/>
          <w:sz w:val="22"/>
          <w:szCs w:val="22"/>
        </w:rPr>
        <w:t xml:space="preserve">5.5. Particular que ejerce función pública — refuerzo argumentativo, no título de pago</w:t>
      </w:r>
    </w:p>
    <w:p>
      <w:pPr>
        <w:spacing w:after="140" w:line="276"/>
        <w:jc w:val="both"/>
      </w:pPr>
      <w:r>
        <w:rPr>
          <w:sz w:val="21"/>
          <w:szCs w:val="21"/>
        </w:rPr>
        <w:t xml:space="preserve">Los elementos resaltados en la ficha —la educación como servicio público a cargo del Estado, la potestad de certificación que supone decidir sobre la idoneidad de un aspirante, el vínculo jurídico transitorio, la sujeción disciplinaria y penal del particular que ejerce funciones públicas— son correctos y útiles, pero </w:t>
      </w:r>
      <w:r>
        <w:rPr>
          <w:b/>
          <w:bCs/>
          <w:sz w:val="21"/>
          <w:szCs w:val="21"/>
        </w:rPr>
        <w:t xml:space="preserve">no constituyen un título autónomo de reconocimiento económico</w:t>
      </w:r>
      <w:r>
        <w:rPr>
          <w:sz w:val="21"/>
          <w:szCs w:val="21"/>
        </w:rPr>
        <w:t xml:space="preserve">. Su valor es doble y preciso:</w:t>
      </w:r>
    </w:p>
    <w:p>
      <w:pPr>
        <w:pStyle w:val="ListParagraph"/>
        <w:numPr>
          <w:ilvl w:val="0"/>
          <w:numId w:val="2"/>
        </w:numPr>
        <w:spacing w:after="90" w:line="276"/>
        <w:jc w:val="both"/>
      </w:pPr>
      <w:r>
        <w:rPr>
          <w:b/>
          <w:bCs/>
          <w:sz w:val="21"/>
          <w:szCs w:val="21"/>
        </w:rPr>
        <w:t xml:space="preserve">Acreditan el interés general que exigía la prestación</w:t>
      </w:r>
      <w:r>
        <w:rPr>
          <w:sz w:val="21"/>
          <w:szCs w:val="21"/>
        </w:rPr>
        <w:t xml:space="preserve">, que es justamente lo que reclama la regla 83 de la unificación de 2025. No se trató de un servicio comercial ordinario, sino del ejercicio de una atribución estatal —valorar el mérito— delegada transitoriamente en expertos externos.</w:t>
      </w:r>
    </w:p>
    <w:p>
      <w:pPr>
        <w:pStyle w:val="ListParagraph"/>
        <w:numPr>
          <w:ilvl w:val="0"/>
          <w:numId w:val="2"/>
        </w:numPr>
        <w:spacing w:after="90" w:line="276"/>
        <w:jc w:val="both"/>
      </w:pPr>
      <w:r>
        <w:rPr>
          <w:b/>
          <w:bCs/>
          <w:sz w:val="21"/>
          <w:szCs w:val="21"/>
        </w:rPr>
        <w:t xml:space="preserve">Refuerzan la legitimidad de los actos ya expedidos.</w:t>
      </w:r>
      <w:r>
        <w:rPr>
          <w:sz w:val="21"/>
          <w:szCs w:val="21"/>
        </w:rPr>
        <w:t xml:space="preserve"> Si los jurados ejercieron función pública transitoria, sus valoraciones son actuación estatal, lo que fortalece la posición de la ESAP frente al recurso interpuesto contra una de las resoluciones y frente a eventuales demandas de aspirantes.</w:t>
      </w:r>
    </w:p>
    <w:p>
      <w:pPr>
        <w:spacing w:after="140" w:line="276"/>
        <w:jc w:val="both"/>
      </w:pPr>
      <w:r>
        <w:rPr>
          <w:sz w:val="21"/>
          <w:szCs w:val="21"/>
        </w:rPr>
        <w:t xml:space="preserve">Debe advertirse el reverso: esa misma calificación somete a los jurados al régimen disciplinario y penal aplicable a los particulares que ejercen funciones públicas (Sentencia C-037 de 2003; artículo 20 del Código Penal), lo que exige a la entidad extremar la documentación de sus designaciones hacia adelante. La regla general sigue siendo que los particulares no cumplen función pública; aquí opera una excepción justificada por la naturaleza certificadora de la actividad.</w:t>
      </w:r>
    </w:p>
    <w:p>
      <w:pPr>
        <w:pStyle w:val="Heading1"/>
        <w:spacing w:after="160" w:before="320"/>
      </w:pPr>
      <w:r>
        <w:rPr>
          <w:b/>
          <w:bCs/>
          <w:color w:val="1F3864"/>
          <w:sz w:val="26"/>
          <w:szCs w:val="26"/>
        </w:rPr>
        <w:t xml:space="preserve">6. Cuadro comparativo de escenarios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1700"/>
        <w:gridCol w:w="1900"/>
        <w:gridCol w:w="2000"/>
        <w:gridCol w:w="1900"/>
        <w:gridCol w:w="1860"/>
      </w:tblGrid>
      <w:tr>
        <w:trPr>
          <w:tblHeader/>
        </w:trPr>
        <w:tc>
          <w:tcPr>
            <w:tcW w:type="dxa" w:w="17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Escenario</w:t>
            </w:r>
          </w:p>
        </w:tc>
        <w:tc>
          <w:tcPr>
            <w:tcW w:type="dxa" w:w="19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Título de imputación</w:t>
            </w:r>
          </w:p>
        </w:tc>
        <w:tc>
          <w:tcPr>
            <w:tcW w:type="dxa" w:w="20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Qué se pagaría</w:t>
            </w:r>
          </w:p>
        </w:tc>
        <w:tc>
          <w:tcPr>
            <w:tcW w:type="dxa" w:w="19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Viabilidad</w:t>
            </w:r>
          </w:p>
        </w:tc>
        <w:tc>
          <w:tcPr>
            <w:tcW w:type="dxa" w:w="18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Exposición para la ESAP</w:t>
            </w:r>
          </w:p>
        </w:tc>
      </w:tr>
      <w:tr>
        <w:trPr>
          <w:tblHeader w:val="false"/>
        </w:trPr>
        <w:tc>
          <w:tcPr>
            <w:tcW w:type="dxa" w:w="1700"/>
            <w:tcMar>
              <w:top w:type="dxa" w:w="80"/>
              <w:left w:type="dxa" w:w="110"/>
              <w:bottom w:type="dxa" w:w="80"/>
              <w:right w:type="dxa" w:w="110"/>
            </w:tcMar>
            <w:vAlign w:val="center"/>
          </w:tcPr>
          <w:p>
            <w:pPr>
              <w:spacing w:after="40" w:line="250"/>
              <w:jc w:val="left"/>
            </w:pPr>
            <w:r>
              <w:rPr>
                <w:b/>
                <w:bCs/>
                <w:sz w:val="18"/>
                <w:szCs w:val="18"/>
              </w:rPr>
              <w:t xml:space="preserve">Enriquecimiento sin justa causa</w:t>
            </w:r>
          </w:p>
        </w:tc>
        <w:tc>
          <w:tcPr>
            <w:tcW w:type="dxa" w:w="1900"/>
            <w:tcMar>
              <w:top w:type="dxa" w:w="80"/>
              <w:left w:type="dxa" w:w="110"/>
              <w:bottom w:type="dxa" w:w="80"/>
              <w:right w:type="dxa" w:w="110"/>
            </w:tcMar>
            <w:vAlign w:val="center"/>
          </w:tcPr>
          <w:p>
            <w:pPr>
              <w:spacing w:after="40" w:line="250"/>
              <w:jc w:val="left"/>
            </w:pPr>
            <w:r>
              <w:rPr>
                <w:sz w:val="18"/>
                <w:szCs w:val="18"/>
              </w:rPr>
              <w:t xml:space="preserve">Fuente autónoma de obligaciones; reparación directa (art. 140 CPACA).</w:t>
            </w:r>
          </w:p>
        </w:tc>
        <w:tc>
          <w:tcPr>
            <w:tcW w:type="dxa" w:w="2000"/>
            <w:tcMar>
              <w:top w:type="dxa" w:w="80"/>
              <w:left w:type="dxa" w:w="110"/>
              <w:bottom w:type="dxa" w:w="80"/>
              <w:right w:type="dxa" w:w="110"/>
            </w:tcMar>
            <w:vAlign w:val="center"/>
          </w:tcPr>
          <w:p>
            <w:pPr>
              <w:spacing w:after="40" w:line="250"/>
              <w:jc w:val="left"/>
            </w:pPr>
            <w:r>
              <w:rPr>
                <w:sz w:val="18"/>
                <w:szCs w:val="18"/>
              </w:rPr>
              <w:t xml:space="preserve">Compensación limitada al menor valor entre empobrecimiento y enriquecimiento. Sin utilidad, sin perjuicios.</w:t>
            </w:r>
          </w:p>
        </w:tc>
        <w:tc>
          <w:tcPr>
            <w:tcW w:type="dxa" w:w="1900"/>
            <w:tcMar>
              <w:top w:type="dxa" w:w="80"/>
              <w:left w:type="dxa" w:w="110"/>
              <w:bottom w:type="dxa" w:w="80"/>
              <w:right w:type="dxa" w:w="110"/>
            </w:tcMar>
            <w:vAlign w:val="center"/>
          </w:tcPr>
          <w:p>
            <w:pPr>
              <w:spacing w:after="40" w:line="250"/>
              <w:jc w:val="left"/>
            </w:pPr>
            <w:r>
              <w:rPr>
                <w:sz w:val="18"/>
                <w:szCs w:val="18"/>
              </w:rPr>
              <w:t xml:space="preserve">Alta, sujeta a probar la circunstancia extraordinaria (regla 83).</w:t>
            </w:r>
          </w:p>
        </w:tc>
        <w:tc>
          <w:tcPr>
            <w:tcW w:type="dxa" w:w="1860"/>
            <w:tcMar>
              <w:top w:type="dxa" w:w="80"/>
              <w:left w:type="dxa" w:w="110"/>
              <w:bottom w:type="dxa" w:w="80"/>
              <w:right w:type="dxa" w:w="110"/>
            </w:tcMar>
            <w:vAlign w:val="center"/>
          </w:tcPr>
          <w:p>
            <w:pPr>
              <w:spacing w:after="40" w:line="250"/>
              <w:jc w:val="left"/>
            </w:pPr>
            <w:r>
              <w:rPr>
                <w:b/>
                <w:bCs/>
                <w:sz w:val="18"/>
                <w:szCs w:val="18"/>
              </w:rPr>
              <w:t xml:space="preserve">Controlada.</w:t>
            </w:r>
            <w:r>
              <w:rPr>
                <w:sz w:val="18"/>
                <w:szCs w:val="18"/>
              </w:rPr>
              <w:t xml:space="preserve"> Es el escenario recomendado.</w:t>
            </w:r>
          </w:p>
        </w:tc>
      </w:tr>
      <w:tr>
        <w:trPr>
          <w:tblHeader w:val="false"/>
        </w:trPr>
        <w:tc>
          <w:tcPr>
            <w:tcW w:type="dxa" w:w="1700"/>
            <w:shd w:fill="F2F4F8" w:color="auto" w:val="clear"/>
            <w:tcMar>
              <w:top w:type="dxa" w:w="80"/>
              <w:left w:type="dxa" w:w="110"/>
              <w:bottom w:type="dxa" w:w="80"/>
              <w:right w:type="dxa" w:w="110"/>
            </w:tcMar>
            <w:vAlign w:val="center"/>
          </w:tcPr>
          <w:p>
            <w:pPr>
              <w:spacing w:after="40" w:line="250"/>
              <w:jc w:val="left"/>
            </w:pPr>
            <w:r>
              <w:rPr>
                <w:sz w:val="18"/>
                <w:szCs w:val="18"/>
              </w:rPr>
              <w:t xml:space="preserve">Laboral / contrato realidad</w:t>
            </w:r>
          </w:p>
        </w:tc>
        <w:tc>
          <w:tcPr>
            <w:tcW w:type="dxa" w:w="1900"/>
            <w:shd w:fill="F2F4F8" w:color="auto" w:val="clear"/>
            <w:tcMar>
              <w:top w:type="dxa" w:w="80"/>
              <w:left w:type="dxa" w:w="110"/>
              <w:bottom w:type="dxa" w:w="80"/>
              <w:right w:type="dxa" w:w="110"/>
            </w:tcMar>
            <w:vAlign w:val="center"/>
          </w:tcPr>
          <w:p>
            <w:pPr>
              <w:spacing w:after="40" w:line="250"/>
              <w:jc w:val="left"/>
            </w:pPr>
            <w:r>
              <w:rPr>
                <w:sz w:val="18"/>
                <w:szCs w:val="18"/>
              </w:rPr>
              <w:t xml:space="preserve">Primacía de la realidad; relación laboral.</w:t>
            </w:r>
          </w:p>
        </w:tc>
        <w:tc>
          <w:tcPr>
            <w:tcW w:type="dxa" w:w="2000"/>
            <w:shd w:fill="F2F4F8" w:color="auto" w:val="clear"/>
            <w:tcMar>
              <w:top w:type="dxa" w:w="80"/>
              <w:left w:type="dxa" w:w="110"/>
              <w:bottom w:type="dxa" w:w="80"/>
              <w:right w:type="dxa" w:w="110"/>
            </w:tcMar>
            <w:vAlign w:val="center"/>
          </w:tcPr>
          <w:p>
            <w:pPr>
              <w:spacing w:after="40" w:line="250"/>
              <w:jc w:val="left"/>
            </w:pPr>
            <w:r>
              <w:rPr>
                <w:sz w:val="18"/>
                <w:szCs w:val="18"/>
              </w:rPr>
              <w:t xml:space="preserve">Prestaciones sociales, aportes a seguridad social, sanciones.</w:t>
            </w:r>
          </w:p>
        </w:tc>
        <w:tc>
          <w:tcPr>
            <w:tcW w:type="dxa" w:w="1900"/>
            <w:shd w:fill="F2F4F8" w:color="auto" w:val="clear"/>
            <w:tcMar>
              <w:top w:type="dxa" w:w="80"/>
              <w:left w:type="dxa" w:w="110"/>
              <w:bottom w:type="dxa" w:w="80"/>
              <w:right w:type="dxa" w:w="110"/>
            </w:tcMar>
            <w:vAlign w:val="center"/>
          </w:tcPr>
          <w:p>
            <w:pPr>
              <w:spacing w:after="40" w:line="250"/>
              <w:jc w:val="left"/>
            </w:pPr>
            <w:r>
              <w:rPr>
                <w:sz w:val="18"/>
                <w:szCs w:val="18"/>
              </w:rPr>
              <w:t xml:space="preserve">Baja. No hay subordinación ni empleo público posible (art. 122 C.P.).</w:t>
            </w:r>
          </w:p>
        </w:tc>
        <w:tc>
          <w:tcPr>
            <w:tcW w:type="dxa" w:w="18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Alta y expansiva.</w:t>
            </w:r>
            <w:r>
              <w:rPr>
                <w:sz w:val="18"/>
                <w:szCs w:val="18"/>
              </w:rPr>
              <w:t xml:space="preserve"> Crea precedente frente a todos los evaluadores externos.</w:t>
            </w:r>
          </w:p>
        </w:tc>
      </w:tr>
      <w:tr>
        <w:trPr>
          <w:tblHeader w:val="false"/>
        </w:trPr>
        <w:tc>
          <w:tcPr>
            <w:tcW w:type="dxa" w:w="1700"/>
            <w:tcMar>
              <w:top w:type="dxa" w:w="80"/>
              <w:left w:type="dxa" w:w="110"/>
              <w:bottom w:type="dxa" w:w="80"/>
              <w:right w:type="dxa" w:w="110"/>
            </w:tcMar>
            <w:vAlign w:val="center"/>
          </w:tcPr>
          <w:p>
            <w:pPr>
              <w:spacing w:after="40" w:line="250"/>
              <w:jc w:val="left"/>
            </w:pPr>
            <w:r>
              <w:rPr>
                <w:sz w:val="18"/>
                <w:szCs w:val="18"/>
              </w:rPr>
              <w:t xml:space="preserve">Hecho administrativo lesivo</w:t>
            </w:r>
          </w:p>
        </w:tc>
        <w:tc>
          <w:tcPr>
            <w:tcW w:type="dxa" w:w="1900"/>
            <w:tcMar>
              <w:top w:type="dxa" w:w="80"/>
              <w:left w:type="dxa" w:w="110"/>
              <w:bottom w:type="dxa" w:w="80"/>
              <w:right w:type="dxa" w:w="110"/>
            </w:tcMar>
            <w:vAlign w:val="center"/>
          </w:tcPr>
          <w:p>
            <w:pPr>
              <w:spacing w:after="40" w:line="250"/>
              <w:jc w:val="left"/>
            </w:pPr>
            <w:r>
              <w:rPr>
                <w:sz w:val="18"/>
                <w:szCs w:val="18"/>
              </w:rPr>
              <w:t xml:space="preserve">Falla del servicio; responsabilidad extracontractual.</w:t>
            </w:r>
          </w:p>
        </w:tc>
        <w:tc>
          <w:tcPr>
            <w:tcW w:type="dxa" w:w="2000"/>
            <w:tcMar>
              <w:top w:type="dxa" w:w="80"/>
              <w:left w:type="dxa" w:w="110"/>
              <w:bottom w:type="dxa" w:w="80"/>
              <w:right w:type="dxa" w:w="110"/>
            </w:tcMar>
            <w:vAlign w:val="center"/>
          </w:tcPr>
          <w:p>
            <w:pPr>
              <w:spacing w:after="40" w:line="250"/>
              <w:jc w:val="left"/>
            </w:pPr>
            <w:r>
              <w:rPr>
                <w:sz w:val="18"/>
                <w:szCs w:val="18"/>
              </w:rPr>
              <w:t xml:space="preserve">Indemnización plena e integral, más intereses y costas.</w:t>
            </w:r>
          </w:p>
        </w:tc>
        <w:tc>
          <w:tcPr>
            <w:tcW w:type="dxa" w:w="1900"/>
            <w:tcMar>
              <w:top w:type="dxa" w:w="80"/>
              <w:left w:type="dxa" w:w="110"/>
              <w:bottom w:type="dxa" w:w="80"/>
              <w:right w:type="dxa" w:w="110"/>
            </w:tcMar>
            <w:vAlign w:val="center"/>
          </w:tcPr>
          <w:p>
            <w:pPr>
              <w:spacing w:after="40" w:line="250"/>
              <w:jc w:val="left"/>
            </w:pPr>
            <w:r>
              <w:rPr>
                <w:sz w:val="18"/>
                <w:szCs w:val="18"/>
              </w:rPr>
              <w:t xml:space="preserve">Alta si el juez descarta el enriquecimiento por omisión imputable a la entidad.</w:t>
            </w:r>
          </w:p>
        </w:tc>
        <w:tc>
          <w:tcPr>
            <w:tcW w:type="dxa" w:w="1860"/>
            <w:tcMar>
              <w:top w:type="dxa" w:w="80"/>
              <w:left w:type="dxa" w:w="110"/>
              <w:bottom w:type="dxa" w:w="80"/>
              <w:right w:type="dxa" w:w="110"/>
            </w:tcMar>
            <w:vAlign w:val="center"/>
          </w:tcPr>
          <w:p>
            <w:pPr>
              <w:spacing w:after="40" w:line="250"/>
              <w:jc w:val="left"/>
            </w:pPr>
            <w:r>
              <w:rPr>
                <w:b/>
                <w:bCs/>
                <w:sz w:val="18"/>
                <w:szCs w:val="18"/>
              </w:rPr>
              <w:t xml:space="preserve">La más alta.</w:t>
            </w:r>
            <w:r>
              <w:rPr>
                <w:sz w:val="18"/>
                <w:szCs w:val="18"/>
              </w:rPr>
              <w:t xml:space="preserve"> Debe evitarse activamente.</w:t>
            </w:r>
          </w:p>
        </w:tc>
      </w:tr>
      <w:tr>
        <w:trPr>
          <w:tblHeader w:val="false"/>
        </w:trPr>
        <w:tc>
          <w:tcPr>
            <w:tcW w:type="dxa" w:w="1700"/>
            <w:shd w:fill="F2F4F8" w:color="auto" w:val="clear"/>
            <w:tcMar>
              <w:top w:type="dxa" w:w="80"/>
              <w:left w:type="dxa" w:w="110"/>
              <w:bottom w:type="dxa" w:w="80"/>
              <w:right w:type="dxa" w:w="110"/>
            </w:tcMar>
            <w:vAlign w:val="center"/>
          </w:tcPr>
          <w:p>
            <w:pPr>
              <w:spacing w:after="40" w:line="250"/>
              <w:jc w:val="left"/>
            </w:pPr>
            <w:r>
              <w:rPr>
                <w:sz w:val="18"/>
                <w:szCs w:val="18"/>
              </w:rPr>
              <w:t xml:space="preserve">Particular que ejerce función pública</w:t>
            </w:r>
          </w:p>
        </w:tc>
        <w:tc>
          <w:tcPr>
            <w:tcW w:type="dxa" w:w="1900"/>
            <w:shd w:fill="F2F4F8" w:color="auto" w:val="clear"/>
            <w:tcMar>
              <w:top w:type="dxa" w:w="80"/>
              <w:left w:type="dxa" w:w="110"/>
              <w:bottom w:type="dxa" w:w="80"/>
              <w:right w:type="dxa" w:w="110"/>
            </w:tcMar>
            <w:vAlign w:val="center"/>
          </w:tcPr>
          <w:p>
            <w:pPr>
              <w:spacing w:after="40" w:line="250"/>
              <w:jc w:val="left"/>
            </w:pPr>
            <w:r>
              <w:rPr>
                <w:sz w:val="18"/>
                <w:szCs w:val="18"/>
              </w:rPr>
              <w:t xml:space="preserve">No es título de pago; sustenta el interés general.</w:t>
            </w:r>
          </w:p>
        </w:tc>
        <w:tc>
          <w:tcPr>
            <w:tcW w:type="dxa" w:w="2000"/>
            <w:shd w:fill="F2F4F8" w:color="auto" w:val="clear"/>
            <w:tcMar>
              <w:top w:type="dxa" w:w="80"/>
              <w:left w:type="dxa" w:w="110"/>
              <w:bottom w:type="dxa" w:w="80"/>
              <w:right w:type="dxa" w:w="110"/>
            </w:tcMar>
            <w:vAlign w:val="center"/>
          </w:tcPr>
          <w:p>
            <w:pPr>
              <w:spacing w:after="40" w:line="250"/>
              <w:jc w:val="left"/>
            </w:pPr>
            <w:r>
              <w:rPr>
                <w:sz w:val="18"/>
                <w:szCs w:val="18"/>
              </w:rPr>
              <w:t xml:space="preserve">Nada por sí solo.</w:t>
            </w:r>
          </w:p>
        </w:tc>
        <w:tc>
          <w:tcPr>
            <w:tcW w:type="dxa" w:w="1900"/>
            <w:shd w:fill="F2F4F8" w:color="auto" w:val="clear"/>
            <w:tcMar>
              <w:top w:type="dxa" w:w="80"/>
              <w:left w:type="dxa" w:w="110"/>
              <w:bottom w:type="dxa" w:w="80"/>
              <w:right w:type="dxa" w:w="110"/>
            </w:tcMar>
            <w:vAlign w:val="center"/>
          </w:tcPr>
          <w:p>
            <w:pPr>
              <w:spacing w:after="40" w:line="250"/>
              <w:jc w:val="left"/>
            </w:pPr>
            <w:r>
              <w:rPr>
                <w:sz w:val="18"/>
                <w:szCs w:val="18"/>
              </w:rPr>
              <w:t xml:space="preserve">Complementaria.</w:t>
            </w:r>
          </w:p>
        </w:tc>
        <w:tc>
          <w:tcPr>
            <w:tcW w:type="dxa" w:w="1860"/>
            <w:shd w:fill="F2F4F8" w:color="auto" w:val="clear"/>
            <w:tcMar>
              <w:top w:type="dxa" w:w="80"/>
              <w:left w:type="dxa" w:w="110"/>
              <w:bottom w:type="dxa" w:w="80"/>
              <w:right w:type="dxa" w:w="110"/>
            </w:tcMar>
            <w:vAlign w:val="center"/>
          </w:tcPr>
          <w:p>
            <w:pPr>
              <w:spacing w:after="40" w:line="250"/>
              <w:jc w:val="left"/>
            </w:pPr>
            <w:r>
              <w:rPr>
                <w:sz w:val="18"/>
                <w:szCs w:val="18"/>
              </w:rPr>
              <w:t xml:space="preserve">Neutra; refuerza la posición de la ESAP.</w:t>
            </w:r>
          </w:p>
        </w:tc>
      </w:tr>
    </w:tbl>
    <w:p>
      <w:pPr>
        <w:pStyle w:val="Heading1"/>
        <w:spacing w:after="160" w:before="320"/>
      </w:pPr>
      <w:r>
        <w:rPr>
          <w:b/>
          <w:bCs/>
          <w:color w:val="1F3864"/>
          <w:sz w:val="26"/>
          <w:szCs w:val="26"/>
        </w:rPr>
        <w:t xml:space="preserve">7. Verificaciones previas indispensables</w:t>
      </w:r>
    </w:p>
    <w:p>
      <w:pPr>
        <w:spacing w:after="140" w:line="276"/>
        <w:jc w:val="both"/>
      </w:pPr>
      <w:r>
        <w:rPr>
          <w:sz w:val="21"/>
          <w:szCs w:val="21"/>
        </w:rPr>
        <w:t xml:space="preserve">Antes de que el Comité vote, la Secretaría Técnica debe dejar constancia sobre los siguientes puntos, cada uno de los cuales puede alterar la decisión:</w:t>
      </w:r>
    </w:p>
    <w:p>
      <w:pPr>
        <w:pStyle w:val="ListParagraph"/>
        <w:numPr>
          <w:ilvl w:val="0"/>
          <w:numId w:val="2"/>
        </w:numPr>
        <w:spacing w:after="90" w:line="276"/>
        <w:jc w:val="both"/>
      </w:pPr>
      <w:r>
        <w:rPr>
          <w:b/>
          <w:bCs/>
          <w:sz w:val="21"/>
          <w:szCs w:val="21"/>
        </w:rPr>
        <w:t xml:space="preserve">Caducidad (artículo 90, numeral 3, de la Ley 2220 de 2022 y artículo 164 del CPACA).</w:t>
      </w:r>
      <w:r>
        <w:rPr>
          <w:sz w:val="21"/>
          <w:szCs w:val="21"/>
        </w:rPr>
        <w:t xml:space="preserve"> Fijar el hito inicial de los dos años. Dado que las prestaciones se ejecutaron durante 2025 y 2026, el término está corriendo y el asunto es conciliable; debe, con todo, precisarse la fecha de la última actuación de cada jurado y de la utilización de sus evaluaciones por la entidad. Téngase presente que la presentación de la solicitud </w:t>
      </w:r>
      <w:r>
        <w:rPr>
          <w:b/>
          <w:bCs/>
          <w:sz w:val="21"/>
          <w:szCs w:val="21"/>
        </w:rPr>
        <w:t xml:space="preserve">suspende</w:t>
      </w:r>
      <w:r>
        <w:rPr>
          <w:sz w:val="21"/>
          <w:szCs w:val="21"/>
        </w:rPr>
        <w:t xml:space="preserve"> el término (artículo 96).</w:t>
      </w:r>
    </w:p>
    <w:p>
      <w:pPr>
        <w:pStyle w:val="ListParagraph"/>
        <w:numPr>
          <w:ilvl w:val="0"/>
          <w:numId w:val="2"/>
        </w:numPr>
        <w:spacing w:after="90" w:line="276"/>
        <w:jc w:val="both"/>
      </w:pPr>
      <w:r>
        <w:rPr>
          <w:b/>
          <w:bCs/>
          <w:sz w:val="21"/>
          <w:szCs w:val="21"/>
        </w:rPr>
        <w:t xml:space="preserve">Ausencia de acto administrativo previo.</w:t>
      </w:r>
      <w:r>
        <w:rPr>
          <w:sz w:val="21"/>
          <w:szCs w:val="21"/>
        </w:rPr>
        <w:t xml:space="preserve"> Verificar que la ESAP no haya negado el pago mediante acto administrativo; de existir, el análisis migraría hacia nulidad y restablecimiento del derecho y habría que agotar los recursos (artículo 90, numeral 4).</w:t>
      </w:r>
    </w:p>
    <w:p>
      <w:pPr>
        <w:pStyle w:val="ListParagraph"/>
        <w:numPr>
          <w:ilvl w:val="0"/>
          <w:numId w:val="2"/>
        </w:numPr>
        <w:spacing w:after="90" w:line="276"/>
        <w:jc w:val="both"/>
      </w:pPr>
      <w:r>
        <w:rPr>
          <w:b/>
          <w:bCs/>
          <w:sz w:val="21"/>
          <w:szCs w:val="21"/>
        </w:rPr>
        <w:t xml:space="preserve">Inexistencia de contrato, orden o acuerdo verbal.</w:t>
      </w:r>
      <w:r>
        <w:rPr>
          <w:sz w:val="21"/>
          <w:szCs w:val="21"/>
        </w:rPr>
        <w:t xml:space="preserve"> Certificación expresa de la oficina de contratación. Si se hallara cualquier soporte negocial, el título deja de ser el enriquecimiento y pasa a ser contractual (regla 81).</w:t>
      </w:r>
    </w:p>
    <w:p>
      <w:pPr>
        <w:pStyle w:val="ListParagraph"/>
        <w:numPr>
          <w:ilvl w:val="0"/>
          <w:numId w:val="2"/>
        </w:numPr>
        <w:spacing w:after="90" w:line="276"/>
        <w:jc w:val="both"/>
      </w:pPr>
      <w:r>
        <w:rPr>
          <w:b/>
          <w:bCs/>
          <w:sz w:val="21"/>
          <w:szCs w:val="21"/>
        </w:rPr>
        <w:t xml:space="preserve">Régimen contractual de la ESAP.</w:t>
      </w:r>
      <w:r>
        <w:rPr>
          <w:sz w:val="21"/>
          <w:szCs w:val="21"/>
        </w:rPr>
        <w:t xml:space="preserve"> Confirmar en el manual de contratación vigente el sometimiento al Estatuto General de Contratación de la Administración Pública, presupuesto de aplicación directa de la unificación 2025CE-SUJ-3-001.</w:t>
      </w:r>
    </w:p>
    <w:p>
      <w:pPr>
        <w:pStyle w:val="ListParagraph"/>
        <w:numPr>
          <w:ilvl w:val="0"/>
          <w:numId w:val="2"/>
        </w:numPr>
        <w:spacing w:after="90" w:line="276"/>
        <w:jc w:val="both"/>
      </w:pPr>
      <w:r>
        <w:rPr>
          <w:b/>
          <w:bCs/>
          <w:sz w:val="21"/>
          <w:szCs w:val="21"/>
        </w:rPr>
        <w:t xml:space="preserve">Individualización de los convocantes</w:t>
      </w:r>
      <w:r>
        <w:rPr>
          <w:sz w:val="21"/>
          <w:szCs w:val="21"/>
        </w:rPr>
        <w:t xml:space="preserve"> y verificación de que cada uno actúe por conducto de abogado con facultad expresa para conciliar (artículo 100 de la Ley 2220 de 2022), o mediante apoderado común.</w:t>
      </w:r>
    </w:p>
    <w:p>
      <w:pPr>
        <w:pStyle w:val="ListParagraph"/>
        <w:numPr>
          <w:ilvl w:val="0"/>
          <w:numId w:val="2"/>
        </w:numPr>
        <w:spacing w:after="90" w:line="276"/>
        <w:jc w:val="both"/>
      </w:pPr>
      <w:r>
        <w:rPr>
          <w:b/>
          <w:bCs/>
          <w:sz w:val="21"/>
          <w:szCs w:val="21"/>
        </w:rPr>
        <w:t xml:space="preserve">Control fiscal en curso.</w:t>
      </w:r>
      <w:r>
        <w:rPr>
          <w:sz w:val="21"/>
          <w:szCs w:val="21"/>
        </w:rPr>
        <w:t xml:space="preserve"> Determinar si el asunto hace parte de algún proceso de vigilancia o control fiscal; en caso afirmativo debe invitarse a la autoridad fiscal a la sesión (artículo 120, numeral 6).</w:t>
      </w:r>
    </w:p>
    <w:p>
      <w:pPr>
        <w:pStyle w:val="Heading1"/>
        <w:spacing w:after="160" w:before="320"/>
      </w:pPr>
      <w:r>
        <w:rPr>
          <w:b/>
          <w:bCs/>
          <w:color w:val="1F3864"/>
          <w:sz w:val="26"/>
          <w:szCs w:val="26"/>
        </w:rPr>
        <w:t xml:space="preserve">8. Fórmula conciliatoria propuesta</w:t>
      </w:r>
    </w:p>
    <w:p>
      <w:pPr>
        <w:pStyle w:val="Heading2"/>
        <w:spacing w:after="120" w:before="240"/>
      </w:pPr>
      <w:r>
        <w:rPr>
          <w:b/>
          <w:bCs/>
          <w:color w:val="1F3864"/>
          <w:sz w:val="22"/>
          <w:szCs w:val="22"/>
        </w:rPr>
        <w:t xml:space="preserve">8.1. Regla de tasación</w:t>
      </w:r>
    </w:p>
    <w:p>
      <w:pPr>
        <w:spacing w:after="140" w:line="276"/>
        <w:jc w:val="both"/>
      </w:pPr>
      <w:r>
        <w:rPr>
          <w:sz w:val="21"/>
          <w:szCs w:val="21"/>
        </w:rPr>
        <w:t xml:space="preserve">Conforme a la regla 85 de la unificación de 2025, el reconocimiento se limita, para cada jurado, al </w:t>
      </w:r>
      <w:r>
        <w:rPr>
          <w:b/>
          <w:bCs/>
          <w:sz w:val="21"/>
          <w:szCs w:val="21"/>
        </w:rPr>
        <w:t xml:space="preserve">menor valor</w:t>
      </w:r>
      <w:r>
        <w:rPr>
          <w:sz w:val="21"/>
          <w:szCs w:val="21"/>
        </w:rPr>
        <w:t xml:space="preserve"> entre (a) su empobrecimiento efectivo y (b) la porción en que la ESAP se enriqueció. Se propone la siguiente metodología, que hace coincidir ambos extremos y es auditable: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2200"/>
        <w:gridCol w:w="2400"/>
        <w:gridCol w:w="2600"/>
        <w:gridCol w:w="2160"/>
      </w:tblGrid>
      <w:tr>
        <w:trPr>
          <w:tblHeader/>
        </w:trPr>
        <w:tc>
          <w:tcPr>
            <w:tcW w:type="dxa" w:w="22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Componente</w:t>
            </w:r>
          </w:p>
        </w:tc>
        <w:tc>
          <w:tcPr>
            <w:tcW w:type="dxa" w:w="24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Unidad de medida</w:t>
            </w:r>
          </w:p>
        </w:tc>
        <w:tc>
          <w:tcPr>
            <w:tcW w:type="dxa" w:w="26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Fuente del valor</w:t>
            </w:r>
          </w:p>
        </w:tc>
        <w:tc>
          <w:tcPr>
            <w:tcW w:type="dxa" w:w="21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Observación</w:t>
            </w:r>
          </w:p>
        </w:tc>
      </w:tr>
      <w:tr>
        <w:trPr>
          <w:tblHeader w:val="false"/>
        </w:trPr>
        <w:tc>
          <w:tcPr>
            <w:tcW w:type="dxa" w:w="2200"/>
            <w:tcMar>
              <w:top w:type="dxa" w:w="80"/>
              <w:left w:type="dxa" w:w="110"/>
              <w:bottom w:type="dxa" w:w="80"/>
              <w:right w:type="dxa" w:w="110"/>
            </w:tcMar>
            <w:vAlign w:val="center"/>
          </w:tcPr>
          <w:p>
            <w:pPr>
              <w:spacing w:after="40" w:line="250"/>
              <w:jc w:val="left"/>
            </w:pPr>
            <w:r>
              <w:rPr>
                <w:sz w:val="18"/>
                <w:szCs w:val="18"/>
              </w:rPr>
              <w:t xml:space="preserve">Capacitación (dos sesiones)</w:t>
            </w:r>
          </w:p>
        </w:tc>
        <w:tc>
          <w:tcPr>
            <w:tcW w:type="dxa" w:w="2400"/>
            <w:tcMar>
              <w:top w:type="dxa" w:w="80"/>
              <w:left w:type="dxa" w:w="110"/>
              <w:bottom w:type="dxa" w:w="80"/>
              <w:right w:type="dxa" w:w="110"/>
            </w:tcMar>
            <w:vAlign w:val="center"/>
          </w:tcPr>
          <w:p>
            <w:pPr>
              <w:spacing w:after="40" w:line="250"/>
              <w:jc w:val="left"/>
            </w:pPr>
            <w:r>
              <w:rPr>
                <w:sz w:val="18"/>
                <w:szCs w:val="18"/>
              </w:rPr>
              <w:t xml:space="preserve">Horas efectivas por jurado</w:t>
            </w:r>
          </w:p>
        </w:tc>
        <w:tc>
          <w:tcPr>
            <w:tcW w:type="dxa" w:w="2600"/>
            <w:tcMar>
              <w:top w:type="dxa" w:w="80"/>
              <w:left w:type="dxa" w:w="110"/>
              <w:bottom w:type="dxa" w:w="80"/>
              <w:right w:type="dxa" w:w="110"/>
            </w:tcMar>
            <w:vAlign w:val="center"/>
          </w:tcPr>
          <w:p>
            <w:pPr>
              <w:spacing w:after="40" w:line="250"/>
              <w:jc w:val="left"/>
            </w:pPr>
            <w:r>
              <w:rPr>
                <w:sz w:val="18"/>
                <w:szCs w:val="18"/>
              </w:rPr>
              <w:t xml:space="preserve">Valor hora de referencia (numeral 8.2)</w:t>
            </w:r>
          </w:p>
        </w:tc>
        <w:tc>
          <w:tcPr>
            <w:tcW w:type="dxa" w:w="2160"/>
            <w:tcMar>
              <w:top w:type="dxa" w:w="80"/>
              <w:left w:type="dxa" w:w="110"/>
              <w:bottom w:type="dxa" w:w="80"/>
              <w:right w:type="dxa" w:w="110"/>
            </w:tcMar>
            <w:vAlign w:val="center"/>
          </w:tcPr>
          <w:p>
            <w:pPr>
              <w:spacing w:after="40" w:line="250"/>
              <w:jc w:val="left"/>
            </w:pPr>
            <w:r>
              <w:rPr>
                <w:sz w:val="18"/>
                <w:szCs w:val="18"/>
              </w:rPr>
              <w:t xml:space="preserve">Acreditado con registros de asistencia</w:t>
            </w:r>
          </w:p>
        </w:tc>
      </w:tr>
      <w:tr>
        <w:trPr>
          <w:tblHeader w:val="false"/>
        </w:trPr>
        <w:tc>
          <w:tcPr>
            <w:tcW w:type="dxa" w:w="2200"/>
            <w:shd w:fill="F2F4F8" w:color="auto" w:val="clear"/>
            <w:tcMar>
              <w:top w:type="dxa" w:w="80"/>
              <w:left w:type="dxa" w:w="110"/>
              <w:bottom w:type="dxa" w:w="80"/>
              <w:right w:type="dxa" w:w="110"/>
            </w:tcMar>
            <w:vAlign w:val="center"/>
          </w:tcPr>
          <w:p>
            <w:pPr>
              <w:spacing w:after="40" w:line="250"/>
              <w:jc w:val="left"/>
            </w:pPr>
            <w:r>
              <w:rPr>
                <w:sz w:val="18"/>
                <w:szCs w:val="18"/>
              </w:rPr>
              <w:t xml:space="preserve">Revisión de planes de trabajo académico</w:t>
            </w:r>
          </w:p>
        </w:tc>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Número de aspirantes por jurado</w:t>
            </w:r>
          </w:p>
        </w:tc>
        <w:tc>
          <w:tcPr>
            <w:tcW w:type="dxa" w:w="2600"/>
            <w:shd w:fill="F2F4F8" w:color="auto" w:val="clear"/>
            <w:tcMar>
              <w:top w:type="dxa" w:w="80"/>
              <w:left w:type="dxa" w:w="110"/>
              <w:bottom w:type="dxa" w:w="80"/>
              <w:right w:type="dxa" w:w="110"/>
            </w:tcMar>
            <w:vAlign w:val="center"/>
          </w:tcPr>
          <w:p>
            <w:pPr>
              <w:spacing w:after="40" w:line="250"/>
              <w:jc w:val="left"/>
            </w:pPr>
            <w:r>
              <w:rPr>
                <w:sz w:val="18"/>
                <w:szCs w:val="18"/>
              </w:rPr>
              <w:t xml:space="preserve">Valor hora × tiempo estándar por aspirante</w:t>
            </w:r>
          </w:p>
        </w:tc>
        <w:tc>
          <w:tcPr>
            <w:tcW w:type="dxa" w:w="2160"/>
            <w:shd w:fill="F2F4F8" w:color="auto" w:val="clear"/>
            <w:tcMar>
              <w:top w:type="dxa" w:w="80"/>
              <w:left w:type="dxa" w:w="110"/>
              <w:bottom w:type="dxa" w:w="80"/>
              <w:right w:type="dxa" w:w="110"/>
            </w:tcMar>
            <w:vAlign w:val="center"/>
          </w:tcPr>
          <w:p>
            <w:pPr>
              <w:spacing w:after="40" w:line="250"/>
              <w:jc w:val="left"/>
            </w:pPr>
            <w:r>
              <w:rPr>
                <w:sz w:val="18"/>
                <w:szCs w:val="18"/>
              </w:rPr>
              <w:t xml:space="preserve">Fijar el tiempo estándar con la Dirección de Gestión Académica</w:t>
            </w:r>
          </w:p>
        </w:tc>
      </w:tr>
      <w:tr>
        <w:trPr>
          <w:tblHeader w:val="false"/>
        </w:trPr>
        <w:tc>
          <w:tcPr>
            <w:tcW w:type="dxa" w:w="2200"/>
            <w:tcMar>
              <w:top w:type="dxa" w:w="80"/>
              <w:left w:type="dxa" w:w="110"/>
              <w:bottom w:type="dxa" w:w="80"/>
              <w:right w:type="dxa" w:w="110"/>
            </w:tcMar>
            <w:vAlign w:val="center"/>
          </w:tcPr>
          <w:p>
            <w:pPr>
              <w:spacing w:after="40" w:line="250"/>
              <w:jc w:val="left"/>
            </w:pPr>
            <w:r>
              <w:rPr>
                <w:sz w:val="18"/>
                <w:szCs w:val="18"/>
              </w:rPr>
              <w:t xml:space="preserve">Sesiones de sustentación oral</w:t>
            </w:r>
          </w:p>
        </w:tc>
        <w:tc>
          <w:tcPr>
            <w:tcW w:type="dxa" w:w="2400"/>
            <w:tcMar>
              <w:top w:type="dxa" w:w="80"/>
              <w:left w:type="dxa" w:w="110"/>
              <w:bottom w:type="dxa" w:w="80"/>
              <w:right w:type="dxa" w:w="110"/>
            </w:tcMar>
            <w:vAlign w:val="center"/>
          </w:tcPr>
          <w:p>
            <w:pPr>
              <w:spacing w:after="40" w:line="250"/>
              <w:jc w:val="left"/>
            </w:pPr>
            <w:r>
              <w:rPr>
                <w:sz w:val="18"/>
                <w:szCs w:val="18"/>
              </w:rPr>
              <w:t xml:space="preserve">Horas efectivas de sesión</w:t>
            </w:r>
          </w:p>
        </w:tc>
        <w:tc>
          <w:tcPr>
            <w:tcW w:type="dxa" w:w="2600"/>
            <w:tcMar>
              <w:top w:type="dxa" w:w="80"/>
              <w:left w:type="dxa" w:w="110"/>
              <w:bottom w:type="dxa" w:w="80"/>
              <w:right w:type="dxa" w:w="110"/>
            </w:tcMar>
            <w:vAlign w:val="center"/>
          </w:tcPr>
          <w:p>
            <w:pPr>
              <w:spacing w:after="40" w:line="250"/>
              <w:jc w:val="left"/>
            </w:pPr>
            <w:r>
              <w:rPr>
                <w:sz w:val="18"/>
                <w:szCs w:val="18"/>
              </w:rPr>
              <w:t xml:space="preserve">Valor hora de referencia</w:t>
            </w:r>
          </w:p>
        </w:tc>
        <w:tc>
          <w:tcPr>
            <w:tcW w:type="dxa" w:w="2160"/>
            <w:tcMar>
              <w:top w:type="dxa" w:w="80"/>
              <w:left w:type="dxa" w:w="110"/>
              <w:bottom w:type="dxa" w:w="80"/>
              <w:right w:type="dxa" w:w="110"/>
            </w:tcMar>
            <w:vAlign w:val="center"/>
          </w:tcPr>
          <w:p>
            <w:pPr>
              <w:spacing w:after="40" w:line="250"/>
              <w:jc w:val="left"/>
            </w:pPr>
            <w:r>
              <w:rPr>
                <w:sz w:val="18"/>
                <w:szCs w:val="18"/>
              </w:rPr>
              <w:t xml:space="preserve">Acreditado con programación y grabaciones</w:t>
            </w:r>
          </w:p>
        </w:tc>
      </w:tr>
      <w:tr>
        <w:trPr>
          <w:tblHeader w:val="false"/>
        </w:trPr>
        <w:tc>
          <w:tcPr>
            <w:tcW w:type="dxa" w:w="2200"/>
            <w:shd w:fill="F2F4F8" w:color="auto" w:val="clear"/>
            <w:tcMar>
              <w:top w:type="dxa" w:w="80"/>
              <w:left w:type="dxa" w:w="110"/>
              <w:bottom w:type="dxa" w:w="80"/>
              <w:right w:type="dxa" w:w="110"/>
            </w:tcMar>
            <w:vAlign w:val="center"/>
          </w:tcPr>
          <w:p>
            <w:pPr>
              <w:spacing w:after="40" w:line="250"/>
              <w:jc w:val="left"/>
            </w:pPr>
            <w:r>
              <w:rPr>
                <w:sz w:val="18"/>
                <w:szCs w:val="18"/>
              </w:rPr>
              <w:t xml:space="preserve">Diligenciamiento y suscripción de instrumentos</w:t>
            </w:r>
          </w:p>
        </w:tc>
        <w:tc>
          <w:tcPr>
            <w:tcW w:type="dxa" w:w="2400"/>
            <w:shd w:fill="F2F4F8" w:color="auto" w:val="clear"/>
            <w:tcMar>
              <w:top w:type="dxa" w:w="80"/>
              <w:left w:type="dxa" w:w="110"/>
              <w:bottom w:type="dxa" w:w="80"/>
              <w:right w:type="dxa" w:w="110"/>
            </w:tcMar>
            <w:vAlign w:val="center"/>
          </w:tcPr>
          <w:p>
            <w:pPr>
              <w:spacing w:after="40" w:line="250"/>
              <w:jc w:val="left"/>
            </w:pPr>
            <w:r>
              <w:rPr>
                <w:sz w:val="18"/>
                <w:szCs w:val="18"/>
              </w:rPr>
              <w:t xml:space="preserve">Número de rúbricas suscritas</w:t>
            </w:r>
          </w:p>
        </w:tc>
        <w:tc>
          <w:tcPr>
            <w:tcW w:type="dxa" w:w="2600"/>
            <w:shd w:fill="F2F4F8" w:color="auto" w:val="clear"/>
            <w:tcMar>
              <w:top w:type="dxa" w:w="80"/>
              <w:left w:type="dxa" w:w="110"/>
              <w:bottom w:type="dxa" w:w="80"/>
              <w:right w:type="dxa" w:w="110"/>
            </w:tcMar>
            <w:vAlign w:val="center"/>
          </w:tcPr>
          <w:p>
            <w:pPr>
              <w:spacing w:after="40" w:line="250"/>
              <w:jc w:val="left"/>
            </w:pPr>
            <w:r>
              <w:rPr>
                <w:sz w:val="18"/>
                <w:szCs w:val="18"/>
              </w:rPr>
              <w:t xml:space="preserve">Valor hora × tiempo estándar por instrumento</w:t>
            </w:r>
          </w:p>
        </w:tc>
        <w:tc>
          <w:tcPr>
            <w:tcW w:type="dxa" w:w="2160"/>
            <w:shd w:fill="F2F4F8" w:color="auto" w:val="clear"/>
            <w:tcMar>
              <w:top w:type="dxa" w:w="80"/>
              <w:left w:type="dxa" w:w="110"/>
              <w:bottom w:type="dxa" w:w="80"/>
              <w:right w:type="dxa" w:w="110"/>
            </w:tcMar>
            <w:vAlign w:val="center"/>
          </w:tcPr>
          <w:p>
            <w:pPr>
              <w:spacing w:after="40" w:line="250"/>
              <w:jc w:val="left"/>
            </w:pPr>
            <w:r>
              <w:rPr>
                <w:sz w:val="18"/>
                <w:szCs w:val="18"/>
              </w:rPr>
              <w:t xml:space="preserve">Acreditado con los instrumentos firmados</w:t>
            </w:r>
          </w:p>
        </w:tc>
      </w:tr>
      <w:tr>
        <w:trPr>
          <w:tblHeader w:val="false"/>
        </w:trPr>
        <w:tc>
          <w:tcPr>
            <w:tcW w:type="dxa" w:w="2200"/>
            <w:tcMar>
              <w:top w:type="dxa" w:w="80"/>
              <w:left w:type="dxa" w:w="110"/>
              <w:bottom w:type="dxa" w:w="80"/>
              <w:right w:type="dxa" w:w="110"/>
            </w:tcMar>
            <w:vAlign w:val="center"/>
          </w:tcPr>
          <w:p>
            <w:pPr>
              <w:spacing w:after="40" w:line="250"/>
              <w:jc w:val="left"/>
            </w:pPr>
            <w:r>
              <w:rPr>
                <w:sz w:val="18"/>
                <w:szCs w:val="18"/>
              </w:rPr>
              <w:t xml:space="preserve">Actualización</w:t>
            </w:r>
          </w:p>
        </w:tc>
        <w:tc>
          <w:tcPr>
            <w:tcW w:type="dxa" w:w="2400"/>
            <w:tcMar>
              <w:top w:type="dxa" w:w="80"/>
              <w:left w:type="dxa" w:w="110"/>
              <w:bottom w:type="dxa" w:w="80"/>
              <w:right w:type="dxa" w:w="110"/>
            </w:tcMar>
            <w:vAlign w:val="center"/>
          </w:tcPr>
          <w:p>
            <w:pPr>
              <w:spacing w:after="40" w:line="250"/>
              <w:jc w:val="left"/>
            </w:pPr>
            <w:r>
              <w:rPr>
                <w:sz w:val="18"/>
                <w:szCs w:val="18"/>
              </w:rPr>
              <w:t xml:space="preserve">IPC desde la prestación hasta el acuerdo</w:t>
            </w:r>
          </w:p>
        </w:tc>
        <w:tc>
          <w:tcPr>
            <w:tcW w:type="dxa" w:w="2600"/>
            <w:tcMar>
              <w:top w:type="dxa" w:w="80"/>
              <w:left w:type="dxa" w:w="110"/>
              <w:bottom w:type="dxa" w:w="80"/>
              <w:right w:type="dxa" w:w="110"/>
            </w:tcMar>
            <w:vAlign w:val="center"/>
          </w:tcPr>
          <w:p>
            <w:pPr>
              <w:spacing w:after="40" w:line="250"/>
              <w:jc w:val="left"/>
            </w:pPr>
            <w:r>
              <w:rPr>
                <w:sz w:val="18"/>
                <w:szCs w:val="18"/>
              </w:rPr>
              <w:t xml:space="preserve">DANE</w:t>
            </w:r>
          </w:p>
        </w:tc>
        <w:tc>
          <w:tcPr>
            <w:tcW w:type="dxa" w:w="2160"/>
            <w:tcMar>
              <w:top w:type="dxa" w:w="80"/>
              <w:left w:type="dxa" w:w="110"/>
              <w:bottom w:type="dxa" w:w="80"/>
              <w:right w:type="dxa" w:w="110"/>
            </w:tcMar>
            <w:vAlign w:val="center"/>
          </w:tcPr>
          <w:p>
            <w:pPr>
              <w:spacing w:after="40" w:line="250"/>
              <w:jc w:val="left"/>
            </w:pPr>
            <w:r>
              <w:rPr>
                <w:sz w:val="18"/>
                <w:szCs w:val="18"/>
              </w:rPr>
              <w:t xml:space="preserve">Corrección monetaria, no indemnización</w:t>
            </w:r>
          </w:p>
        </w:tc>
      </w:tr>
    </w:tbl>
    <w:p>
      <w:pPr>
        <w:spacing w:after="140"/>
      </w:pPr>
    </w:p>
    <w:p>
      <w:pPr>
        <w:pStyle w:val="Heading2"/>
        <w:spacing w:after="120" w:before="240"/>
      </w:pPr>
      <w:r>
        <w:rPr>
          <w:b/>
          <w:bCs/>
          <w:color w:val="1F3864"/>
          <w:sz w:val="22"/>
          <w:szCs w:val="22"/>
        </w:rPr>
        <w:t xml:space="preserve">8.2. Valor hora de referencia</w:t>
      </w:r>
    </w:p>
    <w:p>
      <w:pPr>
        <w:spacing w:after="140" w:line="276"/>
        <w:jc w:val="both"/>
      </w:pPr>
      <w:r>
        <w:rPr>
          <w:sz w:val="21"/>
          <w:szCs w:val="21"/>
        </w:rPr>
        <w:t xml:space="preserve">Se propone adoptar como valor hora </w:t>
      </w:r>
      <w:r>
        <w:rPr>
          <w:b/>
          <w:bCs/>
          <w:sz w:val="21"/>
          <w:szCs w:val="21"/>
        </w:rPr>
        <w:t xml:space="preserve">el menor</w:t>
      </w:r>
      <w:r>
        <w:rPr>
          <w:sz w:val="21"/>
          <w:szCs w:val="21"/>
        </w:rPr>
        <w:t xml:space="preserve"> entre: (i) el que resulte de los contratos suscritos por la ESAP con pares académicos, evaluadores o jurados en procesos análogos durante 2025 y 2026; y (ii) el que arroje la escala de honorarios de la entidad para perfiles equivalentes. La justificación es directa: el enriquecimiento de la ESAP equivale al costo que habría asumido de haber contratado, y ese mismo costo es el mejor indicador del valor del tiempo profesional entregado. Adoptar el menor de los dos valores asegura que el acuerdo no exceda el enriquecimiento efectivo y protege el patrimonio público (artículo 91, numeral 1, de la Ley 2220 de 2022).</w:t>
      </w:r>
    </w:p>
    <w:p>
      <w:pPr>
        <w:pStyle w:val="Heading2"/>
        <w:spacing w:after="120" w:before="240"/>
      </w:pPr>
      <w:r>
        <w:rPr>
          <w:b/>
          <w:bCs/>
          <w:color w:val="1F3864"/>
          <w:sz w:val="22"/>
          <w:szCs w:val="22"/>
        </w:rPr>
        <w:t xml:space="preserve">8.3. Exclusiones expresas del acuerdo</w:t>
      </w:r>
    </w:p>
    <w:p>
      <w:pPr>
        <w:pStyle w:val="ListParagraph"/>
        <w:numPr>
          <w:ilvl w:val="0"/>
          <w:numId w:val="2"/>
        </w:numPr>
        <w:spacing w:after="90" w:line="276"/>
        <w:jc w:val="both"/>
      </w:pPr>
      <w:r>
        <w:rPr>
          <w:sz w:val="21"/>
          <w:szCs w:val="21"/>
        </w:rPr>
        <w:t xml:space="preserve">Utilidad, administración, imprevistos o cualquier margen propio de una relación contractual.</w:t>
      </w:r>
    </w:p>
    <w:p>
      <w:pPr>
        <w:pStyle w:val="ListParagraph"/>
        <w:numPr>
          <w:ilvl w:val="0"/>
          <w:numId w:val="2"/>
        </w:numPr>
        <w:spacing w:after="90" w:line="276"/>
        <w:jc w:val="both"/>
      </w:pPr>
      <w:r>
        <w:rPr>
          <w:sz w:val="21"/>
          <w:szCs w:val="21"/>
        </w:rPr>
        <w:t xml:space="preserve">Indemnización de perjuicios de cualquier naturaleza, materiales o inmateriales.</w:t>
      </w:r>
    </w:p>
    <w:p>
      <w:pPr>
        <w:pStyle w:val="ListParagraph"/>
        <w:numPr>
          <w:ilvl w:val="0"/>
          <w:numId w:val="2"/>
        </w:numPr>
        <w:spacing w:after="90" w:line="276"/>
        <w:jc w:val="both"/>
      </w:pPr>
      <w:r>
        <w:rPr>
          <w:sz w:val="21"/>
          <w:szCs w:val="21"/>
        </w:rPr>
        <w:t xml:space="preserve">Intereses moratorios: no existía obligación previa, exigible y en mora. Solo procede actualización por IPC.</w:t>
      </w:r>
    </w:p>
    <w:p>
      <w:pPr>
        <w:pStyle w:val="ListParagraph"/>
        <w:numPr>
          <w:ilvl w:val="0"/>
          <w:numId w:val="2"/>
        </w:numPr>
        <w:spacing w:after="90" w:line="276"/>
        <w:jc w:val="both"/>
      </w:pPr>
      <w:r>
        <w:rPr>
          <w:sz w:val="21"/>
          <w:szCs w:val="21"/>
        </w:rPr>
        <w:t xml:space="preserve">Prestaciones sociales, aportes al sistema de seguridad social y cualquier emolumento de naturaleza laboral.</w:t>
      </w:r>
    </w:p>
    <w:p>
      <w:pPr>
        <w:pStyle w:val="Heading2"/>
        <w:spacing w:after="120" w:before="240"/>
      </w:pPr>
      <w:r>
        <w:rPr>
          <w:b/>
          <w:bCs/>
          <w:color w:val="1F3864"/>
          <w:sz w:val="22"/>
          <w:szCs w:val="22"/>
        </w:rPr>
        <w:t xml:space="preserve">8.4. Cláusulas que el acta debe contener</w:t>
      </w:r>
    </w:p>
    <w:p>
      <w:pPr>
        <w:pStyle w:val="ListParagraph"/>
        <w:numPr>
          <w:ilvl w:val="0"/>
          <w:numId w:val="2"/>
        </w:numPr>
        <w:spacing w:after="90" w:line="276"/>
        <w:jc w:val="both"/>
      </w:pPr>
      <w:r>
        <w:rPr>
          <w:sz w:val="21"/>
          <w:szCs w:val="21"/>
        </w:rPr>
        <w:t xml:space="preserve">Declaración expresa de que </w:t>
      </w:r>
      <w:r>
        <w:rPr>
          <w:b/>
          <w:bCs/>
          <w:sz w:val="21"/>
          <w:szCs w:val="21"/>
        </w:rPr>
        <w:t xml:space="preserve">no existió vínculo laboral, legal y reglamentario ni contractual</w:t>
      </w:r>
      <w:r>
        <w:rPr>
          <w:sz w:val="21"/>
          <w:szCs w:val="21"/>
        </w:rPr>
        <w:t xml:space="preserve"> entre la ESAP y los convocantes, y de que la suma se reconoce </w:t>
      </w:r>
      <w:r>
        <w:rPr>
          <w:b/>
          <w:bCs/>
          <w:sz w:val="21"/>
          <w:szCs w:val="21"/>
        </w:rPr>
        <w:t xml:space="preserve">exclusivamente a título de compensación</w:t>
      </w:r>
      <w:r>
        <w:rPr>
          <w:sz w:val="21"/>
          <w:szCs w:val="21"/>
        </w:rPr>
        <w:t xml:space="preserve"> por enriquecimiento sin justa causa.</w:t>
      </w:r>
    </w:p>
    <w:p>
      <w:pPr>
        <w:pStyle w:val="ListParagraph"/>
        <w:numPr>
          <w:ilvl w:val="0"/>
          <w:numId w:val="2"/>
        </w:numPr>
        <w:spacing w:after="90" w:line="276"/>
        <w:jc w:val="both"/>
      </w:pPr>
      <w:r>
        <w:rPr>
          <w:sz w:val="21"/>
          <w:szCs w:val="21"/>
        </w:rPr>
        <w:t xml:space="preserve">Declaración de que el acuerdo </w:t>
      </w:r>
      <w:r>
        <w:rPr>
          <w:b/>
          <w:bCs/>
          <w:sz w:val="21"/>
          <w:szCs w:val="21"/>
        </w:rPr>
        <w:t xml:space="preserve">no convalida ni sanea</w:t>
      </w:r>
      <w:r>
        <w:rPr>
          <w:sz w:val="21"/>
          <w:szCs w:val="21"/>
        </w:rPr>
        <w:t xml:space="preserve"> la omisión de la formalidad contractual, ni releva de las responsabilidades disciplinarias y fiscales que correspondan.</w:t>
      </w:r>
    </w:p>
    <w:p>
      <w:pPr>
        <w:pStyle w:val="ListParagraph"/>
        <w:numPr>
          <w:ilvl w:val="0"/>
          <w:numId w:val="2"/>
        </w:numPr>
        <w:spacing w:after="90" w:line="276"/>
        <w:jc w:val="both"/>
      </w:pPr>
      <w:r>
        <w:rPr>
          <w:sz w:val="21"/>
          <w:szCs w:val="21"/>
        </w:rPr>
        <w:t xml:space="preserve">Manifestación de que el acuerdo comprende la totalidad de las reclamaciones derivadas de la intervención de los jurados en el concurso, con renuncia a reclamaciones ulteriores por los mismos hechos.</w:t>
      </w:r>
    </w:p>
    <w:p>
      <w:pPr>
        <w:pStyle w:val="ListParagraph"/>
        <w:numPr>
          <w:ilvl w:val="0"/>
          <w:numId w:val="2"/>
        </w:numPr>
        <w:spacing w:after="90" w:line="276"/>
        <w:jc w:val="both"/>
      </w:pPr>
      <w:r>
        <w:rPr>
          <w:sz w:val="21"/>
          <w:szCs w:val="21"/>
        </w:rPr>
        <w:t xml:space="preserve">Individualización por jurado, con el soporte del cuadro de actividades acreditadas (Anexo 1).</w:t>
      </w:r>
    </w:p>
    <w:p>
      <w:pPr>
        <w:pStyle w:val="ListParagraph"/>
        <w:numPr>
          <w:ilvl w:val="0"/>
          <w:numId w:val="2"/>
        </w:numPr>
        <w:spacing w:after="90" w:line="276"/>
        <w:jc w:val="both"/>
      </w:pPr>
      <w:r>
        <w:rPr>
          <w:sz w:val="21"/>
          <w:szCs w:val="21"/>
        </w:rPr>
        <w:t xml:space="preserve">Fechas y forma de pago, sujetas a la disponibilidad presupuestal de la vigencia correspondiente, conforme al numeral 13 del artículo 120 de la Ley 2220 de 2022.</w:t>
      </w:r>
    </w:p>
    <w:p>
      <w:pPr>
        <w:pStyle w:val="Heading1"/>
        <w:spacing w:after="160" w:before="320"/>
      </w:pPr>
      <w:r>
        <w:rPr>
          <w:b/>
          <w:bCs/>
          <w:color w:val="1F3864"/>
          <w:sz w:val="26"/>
          <w:szCs w:val="26"/>
        </w:rPr>
        <w:t xml:space="preserve">9. Argumentos de conveniencia y defensa institucional</w:t>
      </w:r>
    </w:p>
    <w:p>
      <w:pPr>
        <w:pStyle w:val="ListParagraph"/>
        <w:numPr>
          <w:ilvl w:val="0"/>
          <w:numId w:val="2"/>
        </w:numPr>
        <w:spacing w:after="90" w:line="276"/>
        <w:jc w:val="both"/>
      </w:pPr>
      <w:r>
        <w:rPr>
          <w:b/>
          <w:bCs/>
          <w:sz w:val="21"/>
          <w:szCs w:val="21"/>
        </w:rPr>
        <w:t xml:space="preserve">Prevención del daño antijurídico.</w:t>
      </w:r>
      <w:r>
        <w:rPr>
          <w:sz w:val="21"/>
          <w:szCs w:val="21"/>
        </w:rPr>
        <w:t xml:space="preserve"> Es la razón de ser del Comité (artículos 117 y 120, numeral 1, de la Ley 2220 de 2022). Conciliar tempranamente contiene el daño ya causado y permite adoptar los correctivos que ordena el numeral 3 del artículo 120.</w:t>
      </w:r>
    </w:p>
    <w:p>
      <w:pPr>
        <w:pStyle w:val="ListParagraph"/>
        <w:numPr>
          <w:ilvl w:val="0"/>
          <w:numId w:val="2"/>
        </w:numPr>
        <w:spacing w:after="90" w:line="276"/>
        <w:jc w:val="both"/>
      </w:pPr>
      <w:r>
        <w:rPr>
          <w:b/>
          <w:bCs/>
          <w:sz w:val="21"/>
          <w:szCs w:val="21"/>
        </w:rPr>
        <w:t xml:space="preserve">Alta probabilidad de condena.</w:t>
      </w:r>
      <w:r>
        <w:rPr>
          <w:sz w:val="21"/>
          <w:szCs w:val="21"/>
        </w:rPr>
        <w:t xml:space="preserve"> El servicio está plenamente probado —correo institucional de designación, dos capacitaciones con registro, grabaciones de las sesiones, rúbricas suscritas y uso de las evaluaciones para fijar los puntajes en resoluciones en firme—. El artículo 119 de la Ley 2220 obliga al Comité a conciliar precisamente en estos supuestos.</w:t>
      </w:r>
    </w:p>
    <w:p>
      <w:pPr>
        <w:pStyle w:val="ListParagraph"/>
        <w:numPr>
          <w:ilvl w:val="0"/>
          <w:numId w:val="2"/>
        </w:numPr>
        <w:spacing w:after="90" w:line="276"/>
        <w:jc w:val="both"/>
      </w:pPr>
      <w:r>
        <w:rPr>
          <w:b/>
          <w:bCs/>
          <w:sz w:val="21"/>
          <w:szCs w:val="21"/>
        </w:rPr>
        <w:t xml:space="preserve">Ahorro de costos judiciales.</w:t>
      </w:r>
      <w:r>
        <w:rPr>
          <w:sz w:val="21"/>
          <w:szCs w:val="21"/>
        </w:rPr>
        <w:t xml:space="preserve"> Se evitan costas, agencias en derecho, actualización y el costo interno de defender dos instancias durante varios años.</w:t>
      </w:r>
    </w:p>
    <w:p>
      <w:pPr>
        <w:pStyle w:val="ListParagraph"/>
        <w:numPr>
          <w:ilvl w:val="0"/>
          <w:numId w:val="2"/>
        </w:numPr>
        <w:spacing w:after="90" w:line="276"/>
        <w:jc w:val="both"/>
      </w:pPr>
      <w:r>
        <w:rPr>
          <w:b/>
          <w:bCs/>
          <w:sz w:val="21"/>
          <w:szCs w:val="21"/>
        </w:rPr>
        <w:t xml:space="preserve">Control del monto.</w:t>
      </w:r>
      <w:r>
        <w:rPr>
          <w:sz w:val="21"/>
          <w:szCs w:val="21"/>
        </w:rPr>
        <w:t xml:space="preserve"> Solo por la vía de la compensación puede la entidad fijar el techo del pago. En la vía indemnizatoria lo fija el juez.</w:t>
      </w:r>
    </w:p>
    <w:p>
      <w:pPr>
        <w:pStyle w:val="ListParagraph"/>
        <w:numPr>
          <w:ilvl w:val="0"/>
          <w:numId w:val="2"/>
        </w:numPr>
        <w:spacing w:after="90" w:line="276"/>
        <w:jc w:val="both"/>
      </w:pPr>
      <w:r>
        <w:rPr>
          <w:b/>
          <w:bCs/>
          <w:sz w:val="21"/>
          <w:szCs w:val="21"/>
        </w:rPr>
        <w:t xml:space="preserve">Protección del concurso.</w:t>
      </w:r>
      <w:r>
        <w:rPr>
          <w:sz w:val="21"/>
          <w:szCs w:val="21"/>
        </w:rPr>
        <w:t xml:space="preserve"> Los jurados sostienen probatoriamente las calificaciones. Un litigio con ellos, mientras cursa un recurso contra una de las resoluciones, deteriora la posición de la ESAP frente a los aspirantes y expone el proceso a cuestionamientos.</w:t>
      </w:r>
    </w:p>
    <w:p>
      <w:pPr>
        <w:pStyle w:val="ListParagraph"/>
        <w:numPr>
          <w:ilvl w:val="0"/>
          <w:numId w:val="2"/>
        </w:numPr>
        <w:spacing w:after="90" w:line="276"/>
        <w:jc w:val="both"/>
      </w:pPr>
      <w:r>
        <w:rPr>
          <w:b/>
          <w:bCs/>
          <w:sz w:val="21"/>
          <w:szCs w:val="21"/>
        </w:rPr>
        <w:t xml:space="preserve">Deber de diligencia y riesgo personal de los miembros del Comité.</w:t>
      </w:r>
      <w:r>
        <w:rPr>
          <w:sz w:val="21"/>
          <w:szCs w:val="21"/>
        </w:rPr>
        <w:t xml:space="preserve"> El artículo 128 de la Ley 2220 califica como </w:t>
      </w:r>
      <w:r>
        <w:rPr>
          <w:b/>
          <w:bCs/>
          <w:sz w:val="21"/>
          <w:szCs w:val="21"/>
        </w:rPr>
        <w:t xml:space="preserve">falta grave</w:t>
      </w:r>
      <w:r>
        <w:rPr>
          <w:sz w:val="21"/>
          <w:szCs w:val="21"/>
        </w:rPr>
        <w:t xml:space="preserve"> la omisión inexcusable en el uso de la conciliación y en la aplicación de las sentencias de unificación. En contrapartida, el artículo 117 protege expresamente a quienes concilian en los términos allí previstos: esa decisión, por sí sola, no genera investigación disciplinaria ni fiscal, ni acción de repetición contra los miembros del Comité.</w:t>
      </w:r>
    </w:p>
    <w:p>
      <w:pPr>
        <w:pStyle w:val="ListParagraph"/>
        <w:numPr>
          <w:ilvl w:val="0"/>
          <w:numId w:val="2"/>
        </w:numPr>
        <w:spacing w:after="90" w:line="276"/>
        <w:jc w:val="both"/>
      </w:pPr>
      <w:r>
        <w:rPr>
          <w:b/>
          <w:bCs/>
          <w:sz w:val="21"/>
          <w:szCs w:val="21"/>
        </w:rPr>
        <w:t xml:space="preserve">Sin obstáculo presupuestal para decidir.</w:t>
      </w:r>
      <w:r>
        <w:rPr>
          <w:sz w:val="21"/>
          <w:szCs w:val="21"/>
        </w:rPr>
        <w:t xml:space="preserve"> La ausencia de CDP no impide la decisión (artículo 115, parágrafo 2). La apropiación se gestiona para la ejecución del pago, una vez aprobado judicialmente el acuerdo.</w:t>
      </w:r>
    </w:p>
    <w:p>
      <w:pPr>
        <w:pStyle w:val="Heading1"/>
        <w:spacing w:after="160" w:before="320"/>
      </w:pPr>
      <w:r>
        <w:rPr>
          <w:b/>
          <w:bCs/>
          <w:color w:val="1F3864"/>
          <w:sz w:val="26"/>
          <w:szCs w:val="26"/>
        </w:rPr>
        <w:t xml:space="preserve">10. Riesgos de conciliar y medidas de mitigación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3200"/>
        <w:gridCol w:w="3100"/>
        <w:gridCol w:w="3060"/>
      </w:tblGrid>
      <w:tr>
        <w:trPr>
          <w:tblHeader/>
        </w:trPr>
        <w:tc>
          <w:tcPr>
            <w:tcW w:type="dxa" w:w="32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Riesgo</w:t>
            </w:r>
          </w:p>
        </w:tc>
        <w:tc>
          <w:tcPr>
            <w:tcW w:type="dxa" w:w="31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Descripción</w:t>
            </w:r>
          </w:p>
        </w:tc>
        <w:tc>
          <w:tcPr>
            <w:tcW w:type="dxa" w:w="30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Mitigación</w:t>
            </w:r>
          </w:p>
        </w:tc>
      </w:tr>
      <w:tr>
        <w:trPr>
          <w:tblHeader w:val="false"/>
        </w:trPr>
        <w:tc>
          <w:tcPr>
            <w:tcW w:type="dxa" w:w="3200"/>
            <w:tcMar>
              <w:top w:type="dxa" w:w="80"/>
              <w:left w:type="dxa" w:w="110"/>
              <w:bottom w:type="dxa" w:w="80"/>
              <w:right w:type="dxa" w:w="110"/>
            </w:tcMar>
            <w:vAlign w:val="center"/>
          </w:tcPr>
          <w:p>
            <w:pPr>
              <w:spacing w:after="40" w:line="250"/>
              <w:jc w:val="left"/>
            </w:pPr>
            <w:r>
              <w:rPr>
                <w:sz w:val="18"/>
                <w:szCs w:val="18"/>
              </w:rPr>
              <w:t xml:space="preserve">Improbación judicial del acuerdo</w:t>
            </w:r>
          </w:p>
        </w:tc>
        <w:tc>
          <w:tcPr>
            <w:tcW w:type="dxa" w:w="3100"/>
            <w:tcMar>
              <w:top w:type="dxa" w:w="80"/>
              <w:left w:type="dxa" w:w="110"/>
              <w:bottom w:type="dxa" w:w="80"/>
              <w:right w:type="dxa" w:w="110"/>
            </w:tcMar>
            <w:vAlign w:val="center"/>
          </w:tcPr>
          <w:p>
            <w:pPr>
              <w:spacing w:after="40" w:line="250"/>
              <w:jc w:val="left"/>
            </w:pPr>
            <w:r>
              <w:rPr>
                <w:sz w:val="18"/>
                <w:szCs w:val="18"/>
              </w:rPr>
              <w:t xml:space="preserve">El juez puede considerar no probada la circunstancia extraordinaria de la regla 83, por haber sido posible contratar.</w:t>
            </w:r>
          </w:p>
        </w:tc>
        <w:tc>
          <w:tcPr>
            <w:tcW w:type="dxa" w:w="3060"/>
            <w:tcMar>
              <w:top w:type="dxa" w:w="80"/>
              <w:left w:type="dxa" w:w="110"/>
              <w:bottom w:type="dxa" w:w="80"/>
              <w:right w:type="dxa" w:w="110"/>
            </w:tcMar>
            <w:vAlign w:val="center"/>
          </w:tcPr>
          <w:p>
            <w:pPr>
              <w:spacing w:after="40" w:line="250"/>
              <w:jc w:val="left"/>
            </w:pPr>
            <w:r>
              <w:rPr>
                <w:sz w:val="18"/>
                <w:szCs w:val="18"/>
              </w:rPr>
              <w:t xml:space="preserve">Robustecer el expediente probatorio (sección 2); documentar la imposibilidad de suspender la etapa evaluativa y la confianza generada; tasar de forma conservadora. La improbación no hace tránsito a cosa juzgada (artículo 113).</w:t>
            </w:r>
          </w:p>
        </w:tc>
      </w:tr>
      <w:tr>
        <w:trPr>
          <w:tblHeader w:val="false"/>
        </w:trPr>
        <w:tc>
          <w:tcPr>
            <w:tcW w:type="dxa" w:w="3200"/>
            <w:shd w:fill="F2F4F8" w:color="auto" w:val="clear"/>
            <w:tcMar>
              <w:top w:type="dxa" w:w="80"/>
              <w:left w:type="dxa" w:w="110"/>
              <w:bottom w:type="dxa" w:w="80"/>
              <w:right w:type="dxa" w:w="110"/>
            </w:tcMar>
            <w:vAlign w:val="center"/>
          </w:tcPr>
          <w:p>
            <w:pPr>
              <w:spacing w:after="40" w:line="250"/>
              <w:jc w:val="left"/>
            </w:pPr>
            <w:r>
              <w:rPr>
                <w:sz w:val="18"/>
                <w:szCs w:val="18"/>
              </w:rPr>
              <w:t xml:space="preserve">Lectura laboral del acuerdo</w:t>
            </w:r>
          </w:p>
        </w:tc>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Que la suma se interprete como retribución de una relación de trabajo.</w:t>
            </w:r>
          </w:p>
        </w:tc>
        <w:tc>
          <w:tcPr>
            <w:tcW w:type="dxa" w:w="3060"/>
            <w:shd w:fill="F2F4F8" w:color="auto" w:val="clear"/>
            <w:tcMar>
              <w:top w:type="dxa" w:w="80"/>
              <w:left w:type="dxa" w:w="110"/>
              <w:bottom w:type="dxa" w:w="80"/>
              <w:right w:type="dxa" w:w="110"/>
            </w:tcMar>
            <w:vAlign w:val="center"/>
          </w:tcPr>
          <w:p>
            <w:pPr>
              <w:spacing w:after="40" w:line="250"/>
              <w:jc w:val="left"/>
            </w:pPr>
            <w:r>
              <w:rPr>
                <w:sz w:val="18"/>
                <w:szCs w:val="18"/>
              </w:rPr>
              <w:t xml:space="preserve">Cláusula expresa de inexistencia de vínculo laboral; prohibición de denominar el pago como «honorarios»; individualización por actividad y no por período.</w:t>
            </w:r>
          </w:p>
        </w:tc>
      </w:tr>
      <w:tr>
        <w:trPr>
          <w:tblHeader w:val="false"/>
        </w:trPr>
        <w:tc>
          <w:tcPr>
            <w:tcW w:type="dxa" w:w="3200"/>
            <w:tcMar>
              <w:top w:type="dxa" w:w="80"/>
              <w:left w:type="dxa" w:w="110"/>
              <w:bottom w:type="dxa" w:w="80"/>
              <w:right w:type="dxa" w:w="110"/>
            </w:tcMar>
            <w:vAlign w:val="center"/>
          </w:tcPr>
          <w:p>
            <w:pPr>
              <w:spacing w:after="40" w:line="250"/>
              <w:jc w:val="left"/>
            </w:pPr>
            <w:r>
              <w:rPr>
                <w:sz w:val="18"/>
                <w:szCs w:val="18"/>
              </w:rPr>
              <w:t xml:space="preserve">Concepto de lesividad de la Contraloría</w:t>
            </w:r>
          </w:p>
        </w:tc>
        <w:tc>
          <w:tcPr>
            <w:tcW w:type="dxa" w:w="3100"/>
            <w:tcMar>
              <w:top w:type="dxa" w:w="80"/>
              <w:left w:type="dxa" w:w="110"/>
              <w:bottom w:type="dxa" w:w="80"/>
              <w:right w:type="dxa" w:w="110"/>
            </w:tcMar>
            <w:vAlign w:val="center"/>
          </w:tcPr>
          <w:p>
            <w:pPr>
              <w:spacing w:after="40" w:line="250"/>
              <w:jc w:val="left"/>
            </w:pPr>
            <w:r>
              <w:rPr>
                <w:sz w:val="18"/>
                <w:szCs w:val="18"/>
              </w:rPr>
              <w:t xml:space="preserve">La Contraloría conceptúa ante el juez sobre la afectación del patrimonio público (artículo 113).</w:t>
            </w:r>
          </w:p>
        </w:tc>
        <w:tc>
          <w:tcPr>
            <w:tcW w:type="dxa" w:w="3060"/>
            <w:tcMar>
              <w:top w:type="dxa" w:w="80"/>
              <w:left w:type="dxa" w:w="110"/>
              <w:bottom w:type="dxa" w:w="80"/>
              <w:right w:type="dxa" w:w="110"/>
            </w:tcMar>
            <w:vAlign w:val="center"/>
          </w:tcPr>
          <w:p>
            <w:pPr>
              <w:spacing w:after="40" w:line="250"/>
              <w:jc w:val="left"/>
            </w:pPr>
            <w:r>
              <w:rPr>
                <w:sz w:val="18"/>
                <w:szCs w:val="18"/>
              </w:rPr>
              <w:t xml:space="preserve">Metodología de tasación auditable y anclada en precios propios de la entidad; adoptar siempre el menor valor de referencia.</w:t>
            </w:r>
          </w:p>
        </w:tc>
      </w:tr>
      <w:tr>
        <w:trPr>
          <w:tblHeader w:val="false"/>
        </w:trPr>
        <w:tc>
          <w:tcPr>
            <w:tcW w:type="dxa" w:w="3200"/>
            <w:shd w:fill="F2F4F8" w:color="auto" w:val="clear"/>
            <w:tcMar>
              <w:top w:type="dxa" w:w="80"/>
              <w:left w:type="dxa" w:w="110"/>
              <w:bottom w:type="dxa" w:w="80"/>
              <w:right w:type="dxa" w:w="110"/>
            </w:tcMar>
            <w:vAlign w:val="center"/>
          </w:tcPr>
          <w:p>
            <w:pPr>
              <w:spacing w:after="40" w:line="250"/>
              <w:jc w:val="left"/>
            </w:pPr>
            <w:r>
              <w:rPr>
                <w:sz w:val="18"/>
                <w:szCs w:val="18"/>
              </w:rPr>
              <w:t xml:space="preserve">Efecto precedente</w:t>
            </w:r>
          </w:p>
        </w:tc>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Otros colaboradores externos podrían formular reclamaciones análogas.</w:t>
            </w:r>
          </w:p>
        </w:tc>
        <w:tc>
          <w:tcPr>
            <w:tcW w:type="dxa" w:w="3060"/>
            <w:shd w:fill="F2F4F8" w:color="auto" w:val="clear"/>
            <w:tcMar>
              <w:top w:type="dxa" w:w="80"/>
              <w:left w:type="dxa" w:w="110"/>
              <w:bottom w:type="dxa" w:w="80"/>
              <w:right w:type="dxa" w:w="110"/>
            </w:tcMar>
            <w:vAlign w:val="center"/>
          </w:tcPr>
          <w:p>
            <w:pPr>
              <w:spacing w:after="40" w:line="250"/>
              <w:jc w:val="left"/>
            </w:pPr>
            <w:r>
              <w:rPr>
                <w:sz w:val="18"/>
                <w:szCs w:val="18"/>
              </w:rPr>
              <w:t xml:space="preserve">Fundar el acuerdo en la excepcionalidad probada del caso; adoptar simultáneamente la política de prevención de la sección 11.</w:t>
            </w:r>
          </w:p>
        </w:tc>
      </w:tr>
      <w:tr>
        <w:trPr>
          <w:tblHeader w:val="false"/>
        </w:trPr>
        <w:tc>
          <w:tcPr>
            <w:tcW w:type="dxa" w:w="3200"/>
            <w:tcMar>
              <w:top w:type="dxa" w:w="80"/>
              <w:left w:type="dxa" w:w="110"/>
              <w:bottom w:type="dxa" w:w="80"/>
              <w:right w:type="dxa" w:w="110"/>
            </w:tcMar>
            <w:vAlign w:val="center"/>
          </w:tcPr>
          <w:p>
            <w:pPr>
              <w:spacing w:after="40" w:line="250"/>
              <w:jc w:val="left"/>
            </w:pPr>
            <w:r>
              <w:rPr>
                <w:sz w:val="18"/>
                <w:szCs w:val="18"/>
              </w:rPr>
              <w:t xml:space="preserve">Acción de repetición</w:t>
            </w:r>
          </w:p>
        </w:tc>
        <w:tc>
          <w:tcPr>
            <w:tcW w:type="dxa" w:w="3100"/>
            <w:tcMar>
              <w:top w:type="dxa" w:w="80"/>
              <w:left w:type="dxa" w:w="110"/>
              <w:bottom w:type="dxa" w:w="80"/>
              <w:right w:type="dxa" w:w="110"/>
            </w:tcMar>
            <w:vAlign w:val="center"/>
          </w:tcPr>
          <w:p>
            <w:pPr>
              <w:spacing w:after="40" w:line="250"/>
              <w:jc w:val="left"/>
            </w:pPr>
            <w:r>
              <w:rPr>
                <w:sz w:val="18"/>
                <w:szCs w:val="18"/>
              </w:rPr>
              <w:t xml:space="preserve">Pagada la conciliación, el Comité debe pronunciarse sobre la repetición (artículo 125).</w:t>
            </w:r>
          </w:p>
        </w:tc>
        <w:tc>
          <w:tcPr>
            <w:tcW w:type="dxa" w:w="3060"/>
            <w:tcMar>
              <w:top w:type="dxa" w:w="80"/>
              <w:left w:type="dxa" w:w="110"/>
              <w:bottom w:type="dxa" w:w="80"/>
              <w:right w:type="dxa" w:w="110"/>
            </w:tcMar>
            <w:vAlign w:val="center"/>
          </w:tcPr>
          <w:p>
            <w:pPr>
              <w:spacing w:after="40" w:line="250"/>
              <w:jc w:val="left"/>
            </w:pPr>
            <w:r>
              <w:rPr>
                <w:sz w:val="18"/>
                <w:szCs w:val="18"/>
              </w:rPr>
              <w:t xml:space="preserve">Programar el estudio dentro de los cuatro meses siguientes al pago e identificar a los responsables de la omisión contractual.</w:t>
            </w:r>
          </w:p>
        </w:tc>
      </w:tr>
      <w:tr>
        <w:trPr>
          <w:tblHeader w:val="false"/>
        </w:trPr>
        <w:tc>
          <w:tcPr>
            <w:tcW w:type="dxa" w:w="3200"/>
            <w:shd w:fill="F2F4F8" w:color="auto" w:val="clear"/>
            <w:tcMar>
              <w:top w:type="dxa" w:w="80"/>
              <w:left w:type="dxa" w:w="110"/>
              <w:bottom w:type="dxa" w:w="80"/>
              <w:right w:type="dxa" w:w="110"/>
            </w:tcMar>
            <w:vAlign w:val="center"/>
          </w:tcPr>
          <w:p>
            <w:pPr>
              <w:spacing w:after="40" w:line="250"/>
              <w:jc w:val="left"/>
            </w:pPr>
            <w:r>
              <w:rPr>
                <w:sz w:val="18"/>
                <w:szCs w:val="18"/>
              </w:rPr>
              <w:t xml:space="preserve">Ejecución presupuestal</w:t>
            </w:r>
          </w:p>
        </w:tc>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El pago requiere apropiación en la vigencia respectiva.</w:t>
            </w:r>
          </w:p>
        </w:tc>
        <w:tc>
          <w:tcPr>
            <w:tcW w:type="dxa" w:w="3060"/>
            <w:shd w:fill="F2F4F8" w:color="auto" w:val="clear"/>
            <w:tcMar>
              <w:top w:type="dxa" w:w="80"/>
              <w:left w:type="dxa" w:w="110"/>
              <w:bottom w:type="dxa" w:w="80"/>
              <w:right w:type="dxa" w:w="110"/>
            </w:tcMar>
            <w:vAlign w:val="center"/>
          </w:tcPr>
          <w:p>
            <w:pPr>
              <w:spacing w:after="40" w:line="250"/>
              <w:jc w:val="left"/>
            </w:pPr>
            <w:r>
              <w:rPr>
                <w:sz w:val="18"/>
                <w:szCs w:val="18"/>
              </w:rPr>
              <w:t xml:space="preserve">Solicitar desde ya la programación presupuestal; pactar fechas de pago compatibles (artículo 120, numeral 13).</w:t>
            </w:r>
          </w:p>
        </w:tc>
      </w:tr>
    </w:tbl>
    <w:p>
      <w:pPr>
        <w:pStyle w:val="Heading1"/>
        <w:spacing w:after="160" w:before="320"/>
      </w:pPr>
      <w:r>
        <w:rPr>
          <w:b/>
          <w:bCs/>
          <w:color w:val="1F3864"/>
          <w:sz w:val="26"/>
          <w:szCs w:val="26"/>
        </w:rPr>
        <w:t xml:space="preserve">11. Medidas de prevención del daño antijurídico</w:t>
      </w:r>
    </w:p>
    <w:p>
      <w:pPr>
        <w:spacing w:after="140" w:line="276"/>
        <w:jc w:val="both"/>
      </w:pPr>
      <w:r>
        <w:rPr>
          <w:sz w:val="21"/>
          <w:szCs w:val="21"/>
        </w:rPr>
        <w:t xml:space="preserve">El artículo 120, numeral 3, de la Ley 2220 de 2022 obliga al Comité a identificar las causas generadoras del conflicto y a proponer correctivos. Se recomienda adoptar, en la misma sesión:</w:t>
      </w:r>
    </w:p>
    <w:p>
      <w:pPr>
        <w:pStyle w:val="ListParagraph"/>
        <w:numPr>
          <w:ilvl w:val="0"/>
          <w:numId w:val="2"/>
        </w:numPr>
        <w:spacing w:after="90" w:line="276"/>
        <w:jc w:val="both"/>
      </w:pPr>
      <w:r>
        <w:rPr>
          <w:sz w:val="21"/>
          <w:szCs w:val="21"/>
        </w:rPr>
        <w:t xml:space="preserve">Prohibición de iniciar la ejecución de cualquier actividad de evaluación, docencia o apoyo académico externo sin contrato perfeccionado, registro presupuestal y supervisión designada.</w:t>
      </w:r>
    </w:p>
    <w:p>
      <w:pPr>
        <w:pStyle w:val="ListParagraph"/>
        <w:numPr>
          <w:ilvl w:val="0"/>
          <w:numId w:val="2"/>
        </w:numPr>
        <w:spacing w:after="90" w:line="276"/>
        <w:jc w:val="both"/>
      </w:pPr>
      <w:r>
        <w:rPr>
          <w:sz w:val="21"/>
          <w:szCs w:val="21"/>
        </w:rPr>
        <w:t xml:space="preserve">Inclusión, en la planeación de todo concurso de méritos, del rubro y del proceso de selección de jurados y pares externos, con anterioridad a la expedición de la resolución de convocatoria.</w:t>
      </w:r>
    </w:p>
    <w:p>
      <w:pPr>
        <w:pStyle w:val="ListParagraph"/>
        <w:numPr>
          <w:ilvl w:val="0"/>
          <w:numId w:val="2"/>
        </w:numPr>
        <w:spacing w:after="90" w:line="276"/>
        <w:jc w:val="both"/>
      </w:pPr>
      <w:r>
        <w:rPr>
          <w:sz w:val="21"/>
          <w:szCs w:val="21"/>
        </w:rPr>
        <w:t xml:space="preserve">Modelo institucional de comunicación de designación que advierta expresamente que la vinculación solo surge con la suscripción del contrato, para no generar confianza legítima antes de tiempo.</w:t>
      </w:r>
    </w:p>
    <w:p>
      <w:pPr>
        <w:pStyle w:val="ListParagraph"/>
        <w:numPr>
          <w:ilvl w:val="0"/>
          <w:numId w:val="2"/>
        </w:numPr>
        <w:spacing w:after="90" w:line="276"/>
        <w:jc w:val="both"/>
      </w:pPr>
      <w:r>
        <w:rPr>
          <w:sz w:val="21"/>
          <w:szCs w:val="21"/>
        </w:rPr>
        <w:t xml:space="preserve">Punto de control en el cronograma del concurso que verifique, antes de cada etapa evaluativa, la existencia de los contratos y de los CDP correspondientes.</w:t>
      </w:r>
    </w:p>
    <w:p>
      <w:pPr>
        <w:pStyle w:val="ListParagraph"/>
        <w:numPr>
          <w:ilvl w:val="0"/>
          <w:numId w:val="2"/>
        </w:numPr>
        <w:spacing w:after="90" w:line="276"/>
        <w:jc w:val="both"/>
      </w:pPr>
      <w:r>
        <w:rPr>
          <w:sz w:val="21"/>
          <w:szCs w:val="21"/>
        </w:rPr>
        <w:t xml:space="preserve">Actualización del reglamento interno del Comité de Conciliación a la Ley 2220 de 2022.</w:t>
      </w:r>
    </w:p>
    <w:p>
      <w:pPr>
        <w:pStyle w:val="Heading1"/>
        <w:spacing w:after="160" w:before="320"/>
      </w:pPr>
      <w:r>
        <w:rPr>
          <w:b/>
          <w:bCs/>
          <w:color w:val="1F3864"/>
          <w:sz w:val="26"/>
          <w:szCs w:val="26"/>
        </w:rPr>
        <w:t xml:space="preserve">12. Propuesta de decisión</w:t>
      </w:r>
    </w:p>
    <w:p>
      <w:pPr>
        <w:spacing w:after="140" w:line="276"/>
        <w:jc w:val="both"/>
      </w:pPr>
      <w:r>
        <w:rPr>
          <w:sz w:val="21"/>
          <w:szCs w:val="21"/>
        </w:rPr>
        <w:t xml:space="preserve">Con fundamento en lo expuesto, se somete a consideración del Comité de Conciliación la siguiente decisión, para su inclusión en el acta:</w:t>
      </w:r>
    </w:p>
    <w:p>
      <w:pPr>
        <w:pStyle w:val="ListParagraph"/>
        <w:numPr>
          <w:ilvl w:val="0"/>
          <w:numId w:val="3"/>
        </w:numPr>
        <w:spacing w:after="130" w:line="276"/>
        <w:jc w:val="both"/>
      </w:pPr>
      <w:r>
        <w:rPr>
          <w:b/>
          <w:bCs/>
          <w:sz w:val="21"/>
          <w:szCs w:val="21"/>
        </w:rPr>
        <w:t xml:space="preserve">Declarar procedente la conciliación</w:t>
      </w:r>
      <w:r>
        <w:rPr>
          <w:sz w:val="21"/>
          <w:szCs w:val="21"/>
        </w:rPr>
        <w:t xml:space="preserve"> de las reclamaciones formuladas por los jurados externos que intervinieron en la aplicación y calificación de las pruebas del Concurso Público de Méritos convocado por la Resolución SC-1935 de 2025, modificada por la Resolución SC-155 de 2026, </w:t>
      </w:r>
      <w:r>
        <w:rPr>
          <w:b/>
          <w:bCs/>
          <w:sz w:val="21"/>
          <w:szCs w:val="21"/>
        </w:rPr>
        <w:t xml:space="preserve">exclusivamente a título de compensación por enriquecimiento sin justa causa</w:t>
      </w:r>
      <w:r>
        <w:rPr>
          <w:sz w:val="21"/>
          <w:szCs w:val="21"/>
        </w:rPr>
        <w:t xml:space="preserve">, conforme a las reglas de la Sentencia de Unificación 2025CE-SUJ-3-001 del 31 de julio de 2025 del Consejo de Estado.</w:t>
      </w:r>
    </w:p>
    <w:p>
      <w:pPr>
        <w:pStyle w:val="ListParagraph"/>
        <w:numPr>
          <w:ilvl w:val="0"/>
          <w:numId w:val="3"/>
        </w:numPr>
        <w:spacing w:after="130" w:line="276"/>
        <w:jc w:val="both"/>
      </w:pPr>
      <w:r>
        <w:rPr>
          <w:b/>
          <w:bCs/>
          <w:sz w:val="21"/>
          <w:szCs w:val="21"/>
        </w:rPr>
        <w:t xml:space="preserve">Fijar como posición institucional</w:t>
      </w:r>
      <w:r>
        <w:rPr>
          <w:sz w:val="21"/>
          <w:szCs w:val="21"/>
        </w:rPr>
        <w:t xml:space="preserve"> que entre la ESAP y los jurados externos no existió vínculo laboral, legal y reglamentario ni contractual; que no se reconocen honorarios, prestaciones sociales, aportes al sistema de seguridad social, utilidad, perjuicios ni intereses moratorios; y que el reconocimiento se limita a corregir el traslado patrimonial injustificado.</w:t>
      </w:r>
    </w:p>
    <w:p>
      <w:pPr>
        <w:pStyle w:val="ListParagraph"/>
        <w:numPr>
          <w:ilvl w:val="0"/>
          <w:numId w:val="3"/>
        </w:numPr>
        <w:spacing w:after="130" w:line="276"/>
        <w:jc w:val="both"/>
      </w:pPr>
      <w:r>
        <w:rPr>
          <w:b/>
          <w:bCs/>
          <w:sz w:val="21"/>
          <w:szCs w:val="21"/>
        </w:rPr>
        <w:t xml:space="preserve">Autorizar al apoderado</w:t>
      </w:r>
      <w:r>
        <w:rPr>
          <w:sz w:val="21"/>
          <w:szCs w:val="21"/>
        </w:rPr>
        <w:t xml:space="preserve"> para presentar y suscribir fórmula conciliatoria hasta por la suma que resulte de aplicar la metodología de la sección 8, individualizada por jurado en el Anexo 1, actualizada por IPC, y </w:t>
      </w:r>
      <w:r>
        <w:rPr>
          <w:b/>
          <w:bCs/>
          <w:sz w:val="21"/>
          <w:szCs w:val="21"/>
        </w:rPr>
        <w:t xml:space="preserve">hasta un tope global de [completar]</w:t>
      </w:r>
      <w:r>
        <w:rPr>
          <w:sz w:val="21"/>
          <w:szCs w:val="21"/>
        </w:rPr>
        <w:t xml:space="preserve">, sin que en ningún caso el reconocimiento individual pueda exceder el menor valor entre el empobrecimiento acreditado y el enriquecimiento efectivo de la entidad.</w:t>
      </w:r>
    </w:p>
    <w:p>
      <w:pPr>
        <w:pStyle w:val="ListParagraph"/>
        <w:numPr>
          <w:ilvl w:val="0"/>
          <w:numId w:val="3"/>
        </w:numPr>
        <w:spacing w:after="130" w:line="276"/>
        <w:jc w:val="both"/>
      </w:pPr>
      <w:r>
        <w:rPr>
          <w:b/>
          <w:bCs/>
          <w:sz w:val="21"/>
          <w:szCs w:val="21"/>
        </w:rPr>
        <w:t xml:space="preserve">Instruir a la Secretaría Técnica</w:t>
      </w:r>
      <w:r>
        <w:rPr>
          <w:sz w:val="21"/>
          <w:szCs w:val="21"/>
        </w:rPr>
        <w:t xml:space="preserve"> para que, antes de la audiencia, consolide el expediente probatorio y el cuadro de actividades por jurado, y verifique los puntos de la sección 7, dejando constancia expresa sobre la caducidad y sobre la inexistencia de soporte negocial.</w:t>
      </w:r>
    </w:p>
    <w:p>
      <w:pPr>
        <w:pStyle w:val="ListParagraph"/>
        <w:numPr>
          <w:ilvl w:val="0"/>
          <w:numId w:val="3"/>
        </w:numPr>
        <w:spacing w:after="130" w:line="276"/>
        <w:jc w:val="both"/>
      </w:pPr>
      <w:r>
        <w:rPr>
          <w:b/>
          <w:bCs/>
          <w:sz w:val="21"/>
          <w:szCs w:val="21"/>
        </w:rPr>
        <w:t xml:space="preserve">Instruir al apoderado</w:t>
      </w:r>
      <w:r>
        <w:rPr>
          <w:sz w:val="21"/>
          <w:szCs w:val="21"/>
        </w:rPr>
        <w:t xml:space="preserve"> para que en la audiencia se abstenga de calificar la actuación de la entidad como constreñimiento o imposición, y para que el acta incorpore las cláusulas de la sección 8.4.</w:t>
      </w:r>
    </w:p>
    <w:p>
      <w:pPr>
        <w:pStyle w:val="ListParagraph"/>
        <w:numPr>
          <w:ilvl w:val="0"/>
          <w:numId w:val="3"/>
        </w:numPr>
        <w:spacing w:after="130" w:line="276"/>
        <w:jc w:val="both"/>
      </w:pPr>
      <w:r>
        <w:rPr>
          <w:b/>
          <w:bCs/>
          <w:sz w:val="21"/>
          <w:szCs w:val="21"/>
        </w:rPr>
        <w:t xml:space="preserve">Solicitar a la Subdirección Administrativa y Financiera</w:t>
      </w:r>
      <w:r>
        <w:rPr>
          <w:sz w:val="21"/>
          <w:szCs w:val="21"/>
        </w:rPr>
        <w:t xml:space="preserve"> el concepto sobre el tratamiento tributario del pago y la gestión de la apropiación presupuestal necesaria para su ejecución, dejando constancia de que, conforme al parágrafo 2 del artículo 115 de la Ley 2220 de 2022, esta decisión no requiere disponibilidad presupuestal ni constituye ordenación de gasto.</w:t>
      </w:r>
    </w:p>
    <w:p>
      <w:pPr>
        <w:pStyle w:val="ListParagraph"/>
        <w:numPr>
          <w:ilvl w:val="0"/>
          <w:numId w:val="3"/>
        </w:numPr>
        <w:spacing w:after="130" w:line="276"/>
        <w:jc w:val="both"/>
      </w:pPr>
      <w:r>
        <w:rPr>
          <w:b/>
          <w:bCs/>
          <w:sz w:val="21"/>
          <w:szCs w:val="21"/>
        </w:rPr>
        <w:t xml:space="preserve">Adoptar las medidas de prevención del daño antijurídico</w:t>
      </w:r>
      <w:r>
        <w:rPr>
          <w:sz w:val="21"/>
          <w:szCs w:val="21"/>
        </w:rPr>
        <w:t xml:space="preserve"> de la sección 11 y ordenar su seguimiento en los informes semestrales de gestión del Comité (artículo 121, numeral 3, de la Ley 2220 de 2022).</w:t>
      </w:r>
    </w:p>
    <w:p>
      <w:pPr>
        <w:pStyle w:val="ListParagraph"/>
        <w:numPr>
          <w:ilvl w:val="0"/>
          <w:numId w:val="3"/>
        </w:numPr>
        <w:spacing w:after="130" w:line="276"/>
        <w:jc w:val="both"/>
      </w:pPr>
      <w:r>
        <w:rPr>
          <w:b/>
          <w:bCs/>
          <w:sz w:val="21"/>
          <w:szCs w:val="21"/>
        </w:rPr>
        <w:t xml:space="preserve">Programar el estudio de la acción de repetición</w:t>
      </w:r>
      <w:r>
        <w:rPr>
          <w:sz w:val="21"/>
          <w:szCs w:val="21"/>
        </w:rPr>
        <w:t xml:space="preserve"> dentro de los cuatro (4) meses siguientes al pago total, conforme al artículo 125 de la Ley 2220 de 2022, previa identificación de los servidores responsables de la omisión contractual.</w:t>
      </w:r>
    </w:p>
    <w:p>
      <w:pPr>
        <w:pStyle w:val="ListParagraph"/>
        <w:numPr>
          <w:ilvl w:val="0"/>
          <w:numId w:val="3"/>
        </w:numPr>
        <w:spacing w:after="130" w:line="276"/>
        <w:jc w:val="both"/>
      </w:pPr>
      <w:r>
        <w:rPr>
          <w:b/>
          <w:bCs/>
          <w:sz w:val="21"/>
          <w:szCs w:val="21"/>
        </w:rPr>
        <w:t xml:space="preserve">Comunicar la decisión</w:t>
      </w:r>
      <w:r>
        <w:rPr>
          <w:sz w:val="21"/>
          <w:szCs w:val="21"/>
        </w:rPr>
        <w:t xml:space="preserve"> al agente del Ministerio Público con una antelación no inferior a cinco (5) días a la fecha de la audiencia, aportando copia auténtica del acta o certificación con sus fundamentos (artículo 121, numeral 7, de la Ley 2220 de 2022).</w:t>
      </w:r>
    </w:p>
    <w:p>
      <w:pPr>
        <w:pStyle w:val="Heading1"/>
        <w:spacing w:after="160" w:before="320"/>
      </w:pPr>
      <w:r>
        <w:rPr>
          <w:b/>
          <w:bCs/>
          <w:color w:val="1F3864"/>
          <w:sz w:val="26"/>
          <w:szCs w:val="26"/>
        </w:rPr>
        <w:t xml:space="preserve">13. Trazabilidad frente a la ficha de escenarios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Layout w:type="fixed"/>
      </w:tblPr>
      <w:tblGrid>
        <w:gridCol w:w="3100"/>
        <w:gridCol w:w="6260"/>
      </w:tblGrid>
      <w:tr>
        <w:trPr>
          <w:tblHeader/>
        </w:trPr>
        <w:tc>
          <w:tcPr>
            <w:tcW w:type="dxa" w:w="310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Elemento de la ficha</w:t>
            </w:r>
          </w:p>
        </w:tc>
        <w:tc>
          <w:tcPr>
            <w:tcW w:type="dxa" w:w="6260"/>
            <w:shd w:fill="1F3864" w:color="auto" w:val="clear"/>
            <w:tcMar>
              <w:top w:type="dxa" w:w="80"/>
              <w:left w:type="dxa" w:w="110"/>
              <w:bottom w:type="dxa" w:w="80"/>
              <w:right w:type="dxa" w:w="110"/>
            </w:tcMar>
            <w:vAlign w:val="center"/>
          </w:tcPr>
          <w:p>
            <w:pPr>
              <w:spacing w:after="40" w:line="250"/>
              <w:jc w:val="left"/>
            </w:pPr>
            <w:r>
              <w:rPr>
                <w:b/>
                <w:bCs/>
                <w:color w:val="FFFFFF"/>
                <w:sz w:val="18"/>
                <w:szCs w:val="18"/>
              </w:rPr>
              <w:t xml:space="preserve">Tratamiento en esta propuesta</w:t>
            </w:r>
          </w:p>
        </w:tc>
      </w:tr>
      <w:tr>
        <w:trPr>
          <w:tblHeader w:val="false"/>
        </w:trPr>
        <w:tc>
          <w:tcPr>
            <w:tcW w:type="dxa" w:w="3100"/>
            <w:tcMar>
              <w:top w:type="dxa" w:w="80"/>
              <w:left w:type="dxa" w:w="110"/>
              <w:bottom w:type="dxa" w:w="80"/>
              <w:right w:type="dxa" w:w="110"/>
            </w:tcMar>
            <w:vAlign w:val="center"/>
          </w:tcPr>
          <w:p>
            <w:pPr>
              <w:spacing w:after="40" w:line="250"/>
              <w:jc w:val="left"/>
            </w:pPr>
            <w:r>
              <w:rPr>
                <w:sz w:val="18"/>
                <w:szCs w:val="18"/>
              </w:rPr>
              <w:t xml:space="preserve">Enriquecimiento sin causa: hecho del enriquecimiento, empobrecimiento correlativo, ausencia de causa jurídica</w:t>
            </w:r>
          </w:p>
        </w:tc>
        <w:tc>
          <w:tcPr>
            <w:tcW w:type="dxa" w:w="6260"/>
            <w:tcMar>
              <w:top w:type="dxa" w:w="80"/>
              <w:left w:type="dxa" w:w="110"/>
              <w:bottom w:type="dxa" w:w="80"/>
              <w:right w:type="dxa" w:w="110"/>
            </w:tcMar>
            <w:vAlign w:val="center"/>
          </w:tcPr>
          <w:p>
            <w:pPr>
              <w:spacing w:after="40" w:line="250"/>
              <w:jc w:val="left"/>
            </w:pPr>
            <w:r>
              <w:rPr>
                <w:b/>
                <w:bCs/>
                <w:sz w:val="18"/>
                <w:szCs w:val="18"/>
              </w:rPr>
              <w:t xml:space="preserve">Acogido</w:t>
            </w:r>
            <w:r>
              <w:rPr>
                <w:sz w:val="18"/>
                <w:szCs w:val="18"/>
              </w:rPr>
              <w:t xml:space="preserve"> y desarrollado con los cinco elementos de la regla 84 de la unificación de 2025 (sección 5.1).</w:t>
            </w:r>
          </w:p>
        </w:tc>
      </w:tr>
      <w:tr>
        <w:trPr>
          <w:tblHeader w:val="false"/>
        </w:trPr>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Beneficio de la entidad y empobrecimiento del ciudadano (tiempo + conocimiento)</w:t>
            </w:r>
          </w:p>
        </w:tc>
        <w:tc>
          <w:tcPr>
            <w:tcW w:type="dxa" w:w="62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Acogido</w:t>
            </w:r>
            <w:r>
              <w:rPr>
                <w:sz w:val="18"/>
                <w:szCs w:val="18"/>
              </w:rPr>
              <w:t xml:space="preserve"> como elementos (i) y (ii), con metodología de cuantificación (sección 8).</w:t>
            </w:r>
          </w:p>
        </w:tc>
      </w:tr>
      <w:tr>
        <w:trPr>
          <w:tblHeader w:val="false"/>
        </w:trPr>
        <w:tc>
          <w:tcPr>
            <w:tcW w:type="dxa" w:w="3100"/>
            <w:tcMar>
              <w:top w:type="dxa" w:w="80"/>
              <w:left w:type="dxa" w:w="110"/>
              <w:bottom w:type="dxa" w:w="80"/>
              <w:right w:type="dxa" w:w="110"/>
            </w:tcMar>
            <w:vAlign w:val="center"/>
          </w:tcPr>
          <w:p>
            <w:pPr>
              <w:spacing w:after="40" w:line="250"/>
              <w:jc w:val="left"/>
            </w:pPr>
            <w:r>
              <w:rPr>
                <w:sz w:val="18"/>
                <w:szCs w:val="18"/>
              </w:rPr>
              <w:t xml:space="preserve">Excepciones taxativas: constreñimiento, urgencia manifiesta, buena fe exenta de culpa</w:t>
            </w:r>
          </w:p>
        </w:tc>
        <w:tc>
          <w:tcPr>
            <w:tcW w:type="dxa" w:w="6260"/>
            <w:tcMar>
              <w:top w:type="dxa" w:w="80"/>
              <w:left w:type="dxa" w:w="110"/>
              <w:bottom w:type="dxa" w:w="80"/>
              <w:right w:type="dxa" w:w="110"/>
            </w:tcMar>
            <w:vAlign w:val="center"/>
          </w:tcPr>
          <w:p>
            <w:pPr>
              <w:spacing w:after="40" w:line="250"/>
              <w:jc w:val="left"/>
            </w:pPr>
            <w:r>
              <w:rPr>
                <w:b/>
                <w:bCs/>
                <w:sz w:val="18"/>
                <w:szCs w:val="18"/>
              </w:rPr>
              <w:t xml:space="preserve">Corregido.</w:t>
            </w:r>
            <w:r>
              <w:rPr>
                <w:sz w:val="18"/>
                <w:szCs w:val="18"/>
              </w:rPr>
              <w:t xml:space="preserve"> La taxatividad fue suprimida por la unificación de 2025 (regla 86). La ausencia de constreñimiento ya no es un obstáculo; invocarlo, además, activaría el régimen indemnizatorio (regla 87).</w:t>
            </w:r>
          </w:p>
        </w:tc>
      </w:tr>
      <w:tr>
        <w:trPr>
          <w:tblHeader w:val="false"/>
        </w:trPr>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La educación como servicio público; potestad de certificación; vínculo jurídico transitorio; artículos 366 de la Constitución y 20 del Código Penal; Sentencia C-037 de 2003</w:t>
            </w:r>
          </w:p>
        </w:tc>
        <w:tc>
          <w:tcPr>
            <w:tcW w:type="dxa" w:w="62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Acogido</w:t>
            </w:r>
            <w:r>
              <w:rPr>
                <w:sz w:val="18"/>
                <w:szCs w:val="18"/>
              </w:rPr>
              <w:t xml:space="preserve"> como sustento del interés general exigido por la regla 83, y no como título autónomo de pago (sección 5.5).</w:t>
            </w:r>
          </w:p>
        </w:tc>
      </w:tr>
      <w:tr>
        <w:trPr>
          <w:tblHeader w:val="false"/>
        </w:trPr>
        <w:tc>
          <w:tcPr>
            <w:tcW w:type="dxa" w:w="3100"/>
            <w:tcMar>
              <w:top w:type="dxa" w:w="80"/>
              <w:left w:type="dxa" w:w="110"/>
              <w:bottom w:type="dxa" w:w="80"/>
              <w:right w:type="dxa" w:w="110"/>
            </w:tcMar>
            <w:vAlign w:val="center"/>
          </w:tcPr>
          <w:p>
            <w:pPr>
              <w:spacing w:after="40" w:line="250"/>
              <w:jc w:val="left"/>
            </w:pPr>
            <w:r>
              <w:rPr>
                <w:sz w:val="18"/>
                <w:szCs w:val="18"/>
              </w:rPr>
              <w:t xml:space="preserve">Confianza legítima y buena fe exenta de culpa de los jurados</w:t>
            </w:r>
          </w:p>
        </w:tc>
        <w:tc>
          <w:tcPr>
            <w:tcW w:type="dxa" w:w="6260"/>
            <w:tcMar>
              <w:top w:type="dxa" w:w="80"/>
              <w:left w:type="dxa" w:w="110"/>
              <w:bottom w:type="dxa" w:w="80"/>
              <w:right w:type="dxa" w:w="110"/>
            </w:tcMar>
            <w:vAlign w:val="center"/>
          </w:tcPr>
          <w:p>
            <w:pPr>
              <w:spacing w:after="40" w:line="250"/>
              <w:jc w:val="left"/>
            </w:pPr>
            <w:r>
              <w:rPr>
                <w:b/>
                <w:bCs/>
                <w:sz w:val="18"/>
                <w:szCs w:val="18"/>
              </w:rPr>
              <w:t xml:space="preserve">Acogido</w:t>
            </w:r>
            <w:r>
              <w:rPr>
                <w:sz w:val="18"/>
                <w:szCs w:val="18"/>
              </w:rPr>
              <w:t xml:space="preserve"> y ubicado en el lugar donde hoy rinde: la valoración de la conducta de las partes que ordena la regla 83 (sección 5.2).</w:t>
            </w:r>
          </w:p>
        </w:tc>
      </w:tr>
      <w:tr>
        <w:trPr>
          <w:tblHeader w:val="false"/>
        </w:trPr>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«¿Deberían pagar salud y pensiones?»</w:t>
            </w:r>
          </w:p>
        </w:tc>
        <w:tc>
          <w:tcPr>
            <w:tcW w:type="dxa" w:w="62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Respondido</w:t>
            </w:r>
            <w:r>
              <w:rPr>
                <w:sz w:val="18"/>
                <w:szCs w:val="18"/>
              </w:rPr>
              <w:t xml:space="preserve">: no procede aporte ni afiliación a cargo de la ESAP; sí debe verificarse el tratamiento tributario (sección 5.3).</w:t>
            </w:r>
          </w:p>
        </w:tc>
      </w:tr>
      <w:tr>
        <w:trPr>
          <w:tblHeader w:val="false"/>
        </w:trPr>
        <w:tc>
          <w:tcPr>
            <w:tcW w:type="dxa" w:w="3100"/>
            <w:tcMar>
              <w:top w:type="dxa" w:w="80"/>
              <w:left w:type="dxa" w:w="110"/>
              <w:bottom w:type="dxa" w:w="80"/>
              <w:right w:type="dxa" w:w="110"/>
            </w:tcMar>
            <w:vAlign w:val="center"/>
          </w:tcPr>
          <w:p>
            <w:pPr>
              <w:spacing w:after="40" w:line="250"/>
              <w:jc w:val="left"/>
            </w:pPr>
            <w:r>
              <w:rPr>
                <w:sz w:val="18"/>
                <w:szCs w:val="18"/>
              </w:rPr>
              <w:t xml:space="preserve">Prevención del daño antijurídico, ahorro de costos judiciales e inminencia de la condena</w:t>
            </w:r>
          </w:p>
        </w:tc>
        <w:tc>
          <w:tcPr>
            <w:tcW w:type="dxa" w:w="6260"/>
            <w:tcMar>
              <w:top w:type="dxa" w:w="80"/>
              <w:left w:type="dxa" w:w="110"/>
              <w:bottom w:type="dxa" w:w="80"/>
              <w:right w:type="dxa" w:w="110"/>
            </w:tcMar>
            <w:vAlign w:val="center"/>
          </w:tcPr>
          <w:p>
            <w:pPr>
              <w:spacing w:after="40" w:line="250"/>
              <w:jc w:val="left"/>
            </w:pPr>
            <w:r>
              <w:rPr>
                <w:b/>
                <w:bCs/>
                <w:sz w:val="18"/>
                <w:szCs w:val="18"/>
              </w:rPr>
              <w:t xml:space="preserve">Acogido</w:t>
            </w:r>
            <w:r>
              <w:rPr>
                <w:sz w:val="18"/>
                <w:szCs w:val="18"/>
              </w:rPr>
              <w:t xml:space="preserve"> y anclado en los artículos 117, 119 y 128 de la Ley 2220 de 2022 (sección 9).</w:t>
            </w:r>
          </w:p>
        </w:tc>
      </w:tr>
      <w:tr>
        <w:trPr>
          <w:tblHeader w:val="false"/>
        </w:trPr>
        <w:tc>
          <w:tcPr>
            <w:tcW w:type="dxa" w:w="3100"/>
            <w:shd w:fill="F2F4F8" w:color="auto" w:val="clear"/>
            <w:tcMar>
              <w:top w:type="dxa" w:w="80"/>
              <w:left w:type="dxa" w:w="110"/>
              <w:bottom w:type="dxa" w:w="80"/>
              <w:right w:type="dxa" w:w="110"/>
            </w:tcMar>
            <w:vAlign w:val="center"/>
          </w:tcPr>
          <w:p>
            <w:pPr>
              <w:spacing w:after="40" w:line="250"/>
              <w:jc w:val="left"/>
            </w:pPr>
            <w:r>
              <w:rPr>
                <w:sz w:val="18"/>
                <w:szCs w:val="18"/>
              </w:rPr>
              <w:t xml:space="preserve">Contrato de transacción</w:t>
            </w:r>
          </w:p>
        </w:tc>
        <w:tc>
          <w:tcPr>
            <w:tcW w:type="dxa" w:w="6260"/>
            <w:shd w:fill="F2F4F8" w:color="auto" w:val="clear"/>
            <w:tcMar>
              <w:top w:type="dxa" w:w="80"/>
              <w:left w:type="dxa" w:w="110"/>
              <w:bottom w:type="dxa" w:w="80"/>
              <w:right w:type="dxa" w:w="110"/>
            </w:tcMar>
            <w:vAlign w:val="center"/>
          </w:tcPr>
          <w:p>
            <w:pPr>
              <w:spacing w:after="40" w:line="250"/>
              <w:jc w:val="left"/>
            </w:pPr>
            <w:r>
              <w:rPr>
                <w:b/>
                <w:bCs/>
                <w:sz w:val="18"/>
                <w:szCs w:val="18"/>
              </w:rPr>
              <w:t xml:space="preserve">Descartado</w:t>
            </w:r>
            <w:r>
              <w:rPr>
                <w:sz w:val="18"/>
                <w:szCs w:val="18"/>
              </w:rPr>
              <w:t xml:space="preserve"> como vehículo. La conciliación extrajudicial ante el Ministerio Público es requisito de procedibilidad y produce un título con mérito ejecutivo y efecto de cosa juzgada, previa aprobación judicial y concepto de la Contraloría.</w:t>
            </w:r>
          </w:p>
        </w:tc>
      </w:tr>
    </w:tbl>
    <w:p>
      <w:pPr>
        <w:pStyle w:val="Heading1"/>
        <w:spacing w:after="160" w:before="320"/>
      </w:pPr>
      <w:r>
        <w:rPr>
          <w:b/>
          <w:bCs/>
          <w:color w:val="1F3864"/>
          <w:sz w:val="26"/>
          <w:szCs w:val="26"/>
        </w:rPr>
        <w:t xml:space="preserve">14. Fundamento normativo y jurisprudencial</w:t>
      </w:r>
    </w:p>
    <w:p>
      <w:pPr>
        <w:pStyle w:val="ListParagraph"/>
        <w:numPr>
          <w:ilvl w:val="0"/>
          <w:numId w:val="2"/>
        </w:numPr>
        <w:spacing w:after="90" w:line="276"/>
        <w:jc w:val="both"/>
      </w:pPr>
      <w:r>
        <w:rPr>
          <w:sz w:val="21"/>
          <w:szCs w:val="21"/>
        </w:rPr>
        <w:t xml:space="preserve">Constitución Política, artículos 67, 122, 125, 209, 267 y 366.</w:t>
      </w:r>
    </w:p>
    <w:p>
      <w:pPr>
        <w:pStyle w:val="ListParagraph"/>
        <w:numPr>
          <w:ilvl w:val="0"/>
          <w:numId w:val="2"/>
        </w:numPr>
        <w:spacing w:after="90" w:line="276"/>
        <w:jc w:val="both"/>
      </w:pPr>
      <w:r>
        <w:rPr>
          <w:sz w:val="21"/>
          <w:szCs w:val="21"/>
        </w:rPr>
        <w:t xml:space="preserve">Ley 80 de 1993, artículos 2, 39 y 41.</w:t>
      </w:r>
    </w:p>
    <w:p>
      <w:pPr>
        <w:pStyle w:val="ListParagraph"/>
        <w:numPr>
          <w:ilvl w:val="0"/>
          <w:numId w:val="2"/>
        </w:numPr>
        <w:spacing w:after="90" w:line="276"/>
        <w:jc w:val="both"/>
      </w:pPr>
      <w:r>
        <w:rPr>
          <w:sz w:val="21"/>
          <w:szCs w:val="21"/>
        </w:rPr>
        <w:t xml:space="preserve">Decreto 111 de 1996 (Estatuto Orgánico del Presupuesto), artículo 71.</w:t>
      </w:r>
    </w:p>
    <w:p>
      <w:pPr>
        <w:pStyle w:val="ListParagraph"/>
        <w:numPr>
          <w:ilvl w:val="0"/>
          <w:numId w:val="2"/>
        </w:numPr>
        <w:spacing w:after="90" w:line="276"/>
        <w:jc w:val="both"/>
      </w:pPr>
      <w:r>
        <w:rPr>
          <w:sz w:val="21"/>
          <w:szCs w:val="21"/>
        </w:rPr>
        <w:t xml:space="preserve">Ley 1437 de 2011 (CPACA), artículos 140 y 164, numeral 2, literal i).</w:t>
      </w:r>
    </w:p>
    <w:p>
      <w:pPr>
        <w:pStyle w:val="ListParagraph"/>
        <w:numPr>
          <w:ilvl w:val="0"/>
          <w:numId w:val="2"/>
        </w:numPr>
        <w:spacing w:after="90" w:line="276"/>
        <w:jc w:val="both"/>
      </w:pPr>
      <w:r>
        <w:rPr>
          <w:sz w:val="21"/>
          <w:szCs w:val="21"/>
        </w:rPr>
        <w:t xml:space="preserve">Ley 2220 de 2022 (Estatuto de Conciliación), artículos 86 a 130, en especial 89, 90, 92, 96, 100, 113, 115, 117, 119, 120, 121, 123, 125, 128 y 129.</w:t>
      </w:r>
    </w:p>
    <w:p>
      <w:pPr>
        <w:pStyle w:val="ListParagraph"/>
        <w:numPr>
          <w:ilvl w:val="0"/>
          <w:numId w:val="2"/>
        </w:numPr>
        <w:spacing w:after="90" w:line="276"/>
        <w:jc w:val="both"/>
      </w:pPr>
      <w:r>
        <w:rPr>
          <w:sz w:val="21"/>
          <w:szCs w:val="21"/>
        </w:rPr>
        <w:t xml:space="preserve">Decreto 1069 de 2015, Título 4, Capítulo 3, en lo no contrario a la Ley 2220 de 2022.</w:t>
      </w:r>
    </w:p>
    <w:p>
      <w:pPr>
        <w:pStyle w:val="ListParagraph"/>
        <w:numPr>
          <w:ilvl w:val="0"/>
          <w:numId w:val="2"/>
        </w:numPr>
        <w:spacing w:after="90" w:line="276"/>
        <w:jc w:val="both"/>
      </w:pPr>
      <w:r>
        <w:rPr>
          <w:sz w:val="21"/>
          <w:szCs w:val="21"/>
        </w:rPr>
        <w:t xml:space="preserve">Decreto 219 de 2004 (naturaleza jurídica de la ESAP).</w:t>
      </w:r>
    </w:p>
    <w:p>
      <w:pPr>
        <w:pStyle w:val="ListParagraph"/>
        <w:numPr>
          <w:ilvl w:val="0"/>
          <w:numId w:val="2"/>
        </w:numPr>
        <w:spacing w:after="90" w:line="276"/>
        <w:jc w:val="both"/>
      </w:pPr>
      <w:r>
        <w:rPr>
          <w:sz w:val="21"/>
          <w:szCs w:val="21"/>
        </w:rPr>
        <w:t xml:space="preserve">Consejo de Estado, Sala de lo Contencioso Administrativo, Sección Tercera, Sala Plena. </w:t>
      </w:r>
      <w:r>
        <w:rPr>
          <w:b/>
          <w:bCs/>
          <w:sz w:val="21"/>
          <w:szCs w:val="21"/>
        </w:rPr>
        <w:t xml:space="preserve">Sentencia de Unificación 2025CE-SUJ-3-001</w:t>
      </w:r>
      <w:r>
        <w:rPr>
          <w:sz w:val="21"/>
          <w:szCs w:val="21"/>
        </w:rPr>
        <w:t xml:space="preserve"> del 31 de julio de 2025, radicado 08001-23-33-000-2014-00442-01 (57.464), C.P. Fernando Alexei Pardo Flórez.</w:t>
      </w:r>
    </w:p>
    <w:p>
      <w:pPr>
        <w:pStyle w:val="ListParagraph"/>
        <w:numPr>
          <w:ilvl w:val="0"/>
          <w:numId w:val="2"/>
        </w:numPr>
        <w:spacing w:after="90" w:line="276"/>
        <w:jc w:val="both"/>
      </w:pPr>
      <w:r>
        <w:rPr>
          <w:sz w:val="21"/>
          <w:szCs w:val="21"/>
        </w:rPr>
        <w:t xml:space="preserve">Consejo de Estado, Sección Tercera, Sala Plena. Sentencia de unificación del 19 de noviembre de 2012, radicado 73001-23-31-000-2000-03075-01 (24.897), C.P. Jaime Orlando Santofimio Gamboa (superada en cuanto a la taxatividad de las hipótesis).</w:t>
      </w:r>
    </w:p>
    <w:p>
      <w:pPr>
        <w:pStyle w:val="ListParagraph"/>
        <w:numPr>
          <w:ilvl w:val="0"/>
          <w:numId w:val="2"/>
        </w:numPr>
        <w:spacing w:after="90" w:line="276"/>
        <w:jc w:val="both"/>
      </w:pPr>
      <w:r>
        <w:rPr>
          <w:sz w:val="21"/>
          <w:szCs w:val="21"/>
        </w:rPr>
        <w:t xml:space="preserve">Corte Constitucional, Sentencia C-037 de 2003, M.P. Álvaro Tafur Galvis.</w:t>
      </w:r>
    </w:p>
    <w:p>
      <w:pPr>
        <w:pStyle w:val="ListParagraph"/>
        <w:numPr>
          <w:ilvl w:val="0"/>
          <w:numId w:val="2"/>
        </w:numPr>
        <w:spacing w:after="90" w:line="276"/>
        <w:jc w:val="both"/>
      </w:pPr>
      <w:r>
        <w:rPr>
          <w:sz w:val="21"/>
          <w:szCs w:val="21"/>
        </w:rPr>
        <w:t xml:space="preserve">Ley 599 de 2000 (Código Penal), artículo 20.</w:t>
      </w:r>
    </w:p>
    <w:p>
      <w:pPr>
        <w:spacing w:after="200"/>
      </w:pPr>
    </w:p>
    <w:p>
      <w:pPr>
        <w:pBdr>
          <w:bottom w:val="single" w:color="1F3864" w:sz="6"/>
        </w:pBdr>
        <w:spacing w:after="160" w:before="60"/>
      </w:pPr>
    </w:p>
    <w:p>
      <w:pPr>
        <w:spacing w:after="140" w:line="260"/>
        <w:jc w:val="both"/>
      </w:pPr>
      <w:r>
        <w:rPr>
          <w:i/>
          <w:iCs/>
          <w:color w:val="595959"/>
          <w:sz w:val="18"/>
          <w:szCs w:val="18"/>
        </w:rPr>
        <w:t xml:space="preserve">Anexos sugeridos. Anexo 1: relación nominal de jurados con cuadro de actividades acreditadas y liquidación individual. Anexo 2: expediente probatorio foliado conforme a la matriz de la sección 2. Anexo 3: certificación de inexistencia de contrato y de CDP. Anexo 4: constancia sobre caducidad. Anexo 5: soporte del valor hora de referencia.</w:t>
      </w:r>
    </w:p>
    <w:p>
      <w:pPr>
        <w:spacing w:after="160"/>
      </w:pPr>
    </w:p>
    <w:p>
      <w:pPr>
        <w:spacing w:after="60"/>
        <w:jc w:val="left"/>
      </w:pPr>
      <w:r>
        <w:rPr>
          <w:color w:val="595959"/>
          <w:sz w:val="20"/>
          <w:szCs w:val="20"/>
        </w:rPr>
        <w:t xml:space="preserve">Proyectó: ______________________________    Revisó: ______________________________</w:t>
      </w:r>
    </w:p>
    <w:p>
      <w:pPr>
        <w:jc w:val="left"/>
      </w:pPr>
      <w:r>
        <w:rPr>
          <w:color w:val="595959"/>
          <w:sz w:val="20"/>
          <w:szCs w:val="20"/>
        </w:rPr>
        <w:t xml:space="preserve">Secretaría Técnica del Comité de Conciliación — ESAP</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Comité de Conciliación ESAP — Jurados externos del Concurso de Méritos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2026-08-11T15:49:31.197Z</dcterms:created>
  <dcterms:modified xsi:type="dcterms:W3CDTF">2026-08-11T15:49:31.203Z</dcterms:modified>
</cp:coreProperties>
</file>

<file path=docProps/custom.xml><?xml version="1.0" encoding="utf-8"?>
<Properties xmlns="http://schemas.openxmlformats.org/officeDocument/2006/custom-properties" xmlns:vt="http://schemas.openxmlformats.org/officeDocument/2006/docPropsVTypes"/>
</file>