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Bdr>
          <w:bottom w:val="single" w:sz="20" w:space="6" w:color="2E74B5"/>
        </w:pBdr>
      </w:pPr>
      <w:r>
        <w:rPr>
          <w:rFonts w:ascii="Calibri" w:hAnsi="Calibri"/>
          <w:b/>
          <w:color w:val="2E74B5"/>
          <w:sz w:val="36"/>
        </w:rPr>
        <w:t>NIGHTLOCK</w:t>
      </w:r>
    </w:p>
    <w:p>
      <w:pPr>
        <w:spacing w:before="1400" w:after="280"/>
      </w:pPr>
      <w:r>
        <w:rPr>
          <w:rFonts w:ascii="Calibri" w:hAnsi="Calibri"/>
          <w:b/>
          <w:color w:val="17365D"/>
          <w:sz w:val="68"/>
        </w:rPr>
        <w:t>COMPREHENSIVE</w:t>
        <w:br/>
        <w:t>SECURITY ASSESSMENT</w:t>
      </w:r>
    </w:p>
    <w:p>
      <w:pPr>
        <w:spacing w:after="600"/>
      </w:pPr>
      <w:r>
        <w:rPr>
          <w:rFonts w:ascii="Calibri" w:hAnsi="Calibri"/>
          <w:color w:val="344054"/>
          <w:sz w:val="30"/>
        </w:rPr>
        <w:t>Architecture, cryptography, secret lifecycle, platform hardening,</w:t>
        <w:br/>
        <w:t>persistence, and software supply-chain review</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shd w:fill="F2F4F7"/>
            <w:vAlign w:val="center"/>
            <w:tcMar>
              <w:top w:w="80" w:type="dxa"/>
              <w:start w:w="120" w:type="dxa"/>
              <w:bottom w:w="80" w:type="dxa"/>
              <w:end w:w="120" w:type="dxa"/>
            </w:tcMar>
          </w:tcPr>
          <w:p>
            <w:pPr>
              <w:spacing w:after="40" w:line="240" w:lineRule="auto"/>
            </w:pPr>
            <w:r>
              <w:rPr>
                <w:rFonts w:ascii="Calibri" w:hAnsi="Calibri"/>
                <w:b/>
                <w:color w:val="101828"/>
                <w:sz w:val="17"/>
              </w:rPr>
              <w:t>Assessment date</w:t>
            </w:r>
          </w:p>
        </w:tc>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12 August 2026</w:t>
            </w:r>
          </w:p>
        </w:tc>
      </w:tr>
      <w:tr>
        <w:trPr>
          <w:cantSplit/>
        </w:trPr>
        <w:tc>
          <w:tcPr>
            <w:tcW w:type="dxa" w:w="4680"/>
            <w:shd w:fill="F2F4F7"/>
            <w:vAlign w:val="center"/>
            <w:tcMar>
              <w:top w:w="80" w:type="dxa"/>
              <w:start w:w="120" w:type="dxa"/>
              <w:bottom w:w="80" w:type="dxa"/>
              <w:end w:w="120" w:type="dxa"/>
            </w:tcMar>
          </w:tcPr>
          <w:p>
            <w:pPr>
              <w:spacing w:after="40" w:line="240" w:lineRule="auto"/>
            </w:pPr>
            <w:r>
              <w:rPr>
                <w:rFonts w:ascii="Calibri" w:hAnsi="Calibri"/>
                <w:b/>
                <w:color w:val="101828"/>
                <w:sz w:val="17"/>
              </w:rPr>
              <w:t>Assessed version</w:t>
            </w:r>
          </w:p>
        </w:tc>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Nightlock 1.2.2</w:t>
            </w:r>
          </w:p>
        </w:tc>
      </w:tr>
      <w:tr>
        <w:trPr>
          <w:cantSplit/>
        </w:trPr>
        <w:tc>
          <w:tcPr>
            <w:tcW w:type="dxa" w:w="4680"/>
            <w:shd w:fill="F2F4F7"/>
            <w:vAlign w:val="center"/>
            <w:tcMar>
              <w:top w:w="80" w:type="dxa"/>
              <w:start w:w="120" w:type="dxa"/>
              <w:bottom w:w="80" w:type="dxa"/>
              <w:end w:w="120" w:type="dxa"/>
            </w:tcMar>
          </w:tcPr>
          <w:p>
            <w:pPr>
              <w:spacing w:after="40" w:line="240" w:lineRule="auto"/>
            </w:pPr>
            <w:r>
              <w:rPr>
                <w:rFonts w:ascii="Calibri" w:hAnsi="Calibri"/>
                <w:b/>
                <w:color w:val="101828"/>
                <w:sz w:val="17"/>
              </w:rPr>
              <w:t>Source commit</w:t>
            </w:r>
          </w:p>
        </w:tc>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db8a5d9174788b76363800b41498b935e01d6ce7</w:t>
            </w:r>
          </w:p>
        </w:tc>
      </w:tr>
      <w:tr>
        <w:trPr>
          <w:cantSplit/>
        </w:trPr>
        <w:tc>
          <w:tcPr>
            <w:tcW w:type="dxa" w:w="4680"/>
            <w:shd w:fill="F2F4F7"/>
            <w:vAlign w:val="center"/>
            <w:tcMar>
              <w:top w:w="80" w:type="dxa"/>
              <w:start w:w="120" w:type="dxa"/>
              <w:bottom w:w="80" w:type="dxa"/>
              <w:end w:w="120" w:type="dxa"/>
            </w:tcMar>
          </w:tcPr>
          <w:p>
            <w:pPr>
              <w:spacing w:after="40" w:line="240" w:lineRule="auto"/>
            </w:pPr>
            <w:r>
              <w:rPr>
                <w:rFonts w:ascii="Calibri" w:hAnsi="Calibri"/>
                <w:b/>
                <w:color w:val="101828"/>
                <w:sz w:val="17"/>
              </w:rPr>
              <w:t>Document</w:t>
            </w:r>
          </w:p>
        </w:tc>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NL-SA-2026-001  •  Version 1.0</w:t>
            </w:r>
          </w:p>
        </w:tc>
      </w:tr>
    </w:tbl>
    <w:p>
      <w:pPr>
        <w:spacing w:before="1120"/>
        <w:jc w:val="left"/>
      </w:pPr>
      <w:r>
        <w:rPr>
          <w:b/>
          <w:color w:val="B42318"/>
          <w:sz w:val="20"/>
        </w:rPr>
        <w:t>SECURITY SENSITIVE — INTERNAL ENGINEERING USE</w:t>
      </w:r>
    </w:p>
    <w:p>
      <w:pPr>
        <w:spacing w:after="0"/>
      </w:pPr>
      <w:r>
        <w:rPr>
          <w:color w:val="667085"/>
          <w:sz w:val="18"/>
        </w:rPr>
        <w:t>Prepared for Nightlock maintainers. Findings use synthetic data only. This report does not contain a real vault, password, key, seed phrase, or memory dump.</w:t>
      </w:r>
    </w:p>
    <w:p>
      <w:r>
        <w:br w:type="page"/>
      </w:r>
    </w:p>
    <w:p>
      <w:pPr>
        <w:pStyle w:val="Heading1"/>
      </w:pPr>
      <w:r>
        <w:t>Document Control</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Purpose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Independent-style source and architecture assessment to define the work required for a radical secure-by-default Nightlock release.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Scope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C++20 core, .nlck v1 format, Qt desktop, CLI, macOS Touch ID, persistence, tests, CI, packaging, release governance, and competitor benchmark.</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Out of scope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Formal cryptographic proof; full third-party penetration test; signed production package inspection; Windows/Linux/macOS clean-machine testing; external GitHub rules; kernel/firmware compromise.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Primary benchmark</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KeePassXC 2.7.12 and KDBX 4.1; historical audit evidence is version-bound to KeePassXC 2.7.4 and 2.7.9.</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Prepared by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Codex security review workflow; evidence is traceable to the assessed source and primary public references.</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Security Sensitive — Internal Engineering Use</w:t>
            </w:r>
          </w:p>
        </w:tc>
      </w:tr>
    </w:tbl>
    <w:p>
      <w:pPr>
        <w:pStyle w:val="Heading2"/>
      </w:pPr>
      <w:r>
        <w:t>Change Record</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40"/>
        <w:gridCol w:w="2340"/>
        <w:gridCol w:w="2340"/>
        <w:gridCol w:w="2340"/>
      </w:tblGrid>
      <w:tr>
        <w:trPr>
          <w:cantSplit/>
          <w:tblHeader w:val="true"/>
        </w:trPr>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Version</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Date</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Status</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Description</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1.0</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2026-08-12</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Final assessment</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Initial comprehensive review of Nightlock 1.2.2 at the scoped commit.</w:t>
            </w:r>
          </w:p>
        </w:tc>
      </w:tr>
    </w:tbl>
    <w:p>
      <w:r>
        <w:br w:type="page"/>
      </w:r>
    </w:p>
    <w:p>
      <w:pPr>
        <w:pStyle w:val="Heading1"/>
      </w:pPr>
      <w:r>
        <w:t>Contents</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Section</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Page</w:t>
            </w:r>
          </w:p>
        </w:tc>
      </w:tr>
      <w:tr>
        <w:trPr>
          <w:cantSplit/>
        </w:trPr>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Document Control</w:t>
            </w:r>
          </w:p>
        </w:tc>
        <w:tc>
          <w:tcPr>
            <w:tcW w:type="dxa" w:w="4680"/>
            <w:vAlign w:val="center"/>
            <w:tcMar>
              <w:top w:w="80" w:type="dxa"/>
              <w:start w:w="120" w:type="dxa"/>
              <w:bottom w:w="80" w:type="dxa"/>
              <w:end w:w="120" w:type="dxa"/>
            </w:tcMar>
          </w:tcPr>
          <w:p>
            <w:pPr>
              <w:spacing w:after="40" w:line="240" w:lineRule="auto"/>
              <w:jc w:val="right"/>
            </w:pPr>
            <w:r>
              <w:rPr>
                <w:rFonts w:ascii="Calibri" w:hAnsi="Calibri"/>
                <w:color w:val="101828"/>
                <w:sz w:val="17"/>
              </w:rPr>
              <w:t>2</w:t>
            </w:r>
          </w:p>
        </w:tc>
      </w:tr>
      <w:tr>
        <w:trPr>
          <w:cantSplit/>
        </w:trPr>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Executive Summary</w:t>
            </w:r>
          </w:p>
        </w:tc>
        <w:tc>
          <w:tcPr>
            <w:tcW w:type="dxa" w:w="4680"/>
            <w:vAlign w:val="center"/>
            <w:tcMar>
              <w:top w:w="80" w:type="dxa"/>
              <w:start w:w="120" w:type="dxa"/>
              <w:bottom w:w="80" w:type="dxa"/>
              <w:end w:w="120" w:type="dxa"/>
            </w:tcMar>
          </w:tcPr>
          <w:p>
            <w:pPr>
              <w:spacing w:after="40" w:line="240" w:lineRule="auto"/>
              <w:jc w:val="right"/>
            </w:pPr>
            <w:r>
              <w:rPr>
                <w:rFonts w:ascii="Calibri" w:hAnsi="Calibri"/>
                <w:color w:val="101828"/>
                <w:sz w:val="17"/>
              </w:rPr>
              <w:t>4</w:t>
            </w:r>
          </w:p>
        </w:tc>
      </w:tr>
      <w:tr>
        <w:trPr>
          <w:cantSplit/>
        </w:trPr>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Scope, Methodology, and Rating Model</w:t>
            </w:r>
          </w:p>
        </w:tc>
        <w:tc>
          <w:tcPr>
            <w:tcW w:type="dxa" w:w="4680"/>
            <w:vAlign w:val="center"/>
            <w:tcMar>
              <w:top w:w="80" w:type="dxa"/>
              <w:start w:w="120" w:type="dxa"/>
              <w:bottom w:w="80" w:type="dxa"/>
              <w:end w:w="120" w:type="dxa"/>
            </w:tcMar>
          </w:tcPr>
          <w:p>
            <w:pPr>
              <w:spacing w:after="40" w:line="240" w:lineRule="auto"/>
              <w:jc w:val="right"/>
            </w:pPr>
            <w:r>
              <w:rPr>
                <w:rFonts w:ascii="Calibri" w:hAnsi="Calibri"/>
                <w:color w:val="101828"/>
                <w:sz w:val="17"/>
              </w:rPr>
              <w:t>6</w:t>
            </w:r>
          </w:p>
        </w:tc>
      </w:tr>
      <w:tr>
        <w:trPr>
          <w:cantSplit/>
        </w:trPr>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Threat Model and Security Claims</w:t>
            </w:r>
          </w:p>
        </w:tc>
        <w:tc>
          <w:tcPr>
            <w:tcW w:type="dxa" w:w="4680"/>
            <w:vAlign w:val="center"/>
            <w:tcMar>
              <w:top w:w="80" w:type="dxa"/>
              <w:start w:w="120" w:type="dxa"/>
              <w:bottom w:w="80" w:type="dxa"/>
              <w:end w:w="120" w:type="dxa"/>
            </w:tcMar>
          </w:tcPr>
          <w:p>
            <w:pPr>
              <w:spacing w:after="40" w:line="240" w:lineRule="auto"/>
              <w:jc w:val="right"/>
            </w:pPr>
            <w:r>
              <w:rPr>
                <w:rFonts w:ascii="Calibri" w:hAnsi="Calibri"/>
                <w:color w:val="101828"/>
                <w:sz w:val="17"/>
              </w:rPr>
              <w:t>8</w:t>
            </w:r>
          </w:p>
        </w:tc>
      </w:tr>
      <w:tr>
        <w:trPr>
          <w:cantSplit/>
        </w:trPr>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Current Architecture and Cryptographic Review</w:t>
            </w:r>
          </w:p>
        </w:tc>
        <w:tc>
          <w:tcPr>
            <w:tcW w:type="dxa" w:w="4680"/>
            <w:vAlign w:val="center"/>
            <w:tcMar>
              <w:top w:w="80" w:type="dxa"/>
              <w:start w:w="120" w:type="dxa"/>
              <w:bottom w:w="80" w:type="dxa"/>
              <w:end w:w="120" w:type="dxa"/>
            </w:tcMar>
          </w:tcPr>
          <w:p>
            <w:pPr>
              <w:spacing w:after="40" w:line="240" w:lineRule="auto"/>
              <w:jc w:val="right"/>
            </w:pPr>
            <w:r>
              <w:rPr>
                <w:rFonts w:ascii="Calibri" w:hAnsi="Calibri"/>
                <w:color w:val="101828"/>
                <w:sz w:val="17"/>
              </w:rPr>
              <w:t>10</w:t>
            </w:r>
          </w:p>
        </w:tc>
      </w:tr>
      <w:tr>
        <w:trPr>
          <w:cantSplit/>
        </w:trPr>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Consolidated Finding Register</w:t>
            </w:r>
          </w:p>
        </w:tc>
        <w:tc>
          <w:tcPr>
            <w:tcW w:type="dxa" w:w="4680"/>
            <w:vAlign w:val="center"/>
            <w:tcMar>
              <w:top w:w="80" w:type="dxa"/>
              <w:start w:w="120" w:type="dxa"/>
              <w:bottom w:w="80" w:type="dxa"/>
              <w:end w:w="120" w:type="dxa"/>
            </w:tcMar>
          </w:tcPr>
          <w:p>
            <w:pPr>
              <w:spacing w:after="40" w:line="240" w:lineRule="auto"/>
              <w:jc w:val="right"/>
            </w:pPr>
            <w:r>
              <w:rPr>
                <w:rFonts w:ascii="Calibri" w:hAnsi="Calibri"/>
                <w:color w:val="101828"/>
                <w:sz w:val="17"/>
              </w:rPr>
              <w:t>12</w:t>
            </w:r>
          </w:p>
        </w:tc>
      </w:tr>
      <w:tr>
        <w:trPr>
          <w:cantSplit/>
        </w:trPr>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Detailed Findings</w:t>
            </w:r>
          </w:p>
        </w:tc>
        <w:tc>
          <w:tcPr>
            <w:tcW w:type="dxa" w:w="4680"/>
            <w:vAlign w:val="center"/>
            <w:tcMar>
              <w:top w:w="80" w:type="dxa"/>
              <w:start w:w="120" w:type="dxa"/>
              <w:bottom w:w="80" w:type="dxa"/>
              <w:end w:w="120" w:type="dxa"/>
            </w:tcMar>
          </w:tcPr>
          <w:p>
            <w:pPr>
              <w:spacing w:after="40" w:line="240" w:lineRule="auto"/>
              <w:jc w:val="right"/>
            </w:pPr>
            <w:r>
              <w:rPr>
                <w:rFonts w:ascii="Calibri" w:hAnsi="Calibri"/>
                <w:color w:val="101828"/>
                <w:sz w:val="17"/>
              </w:rPr>
              <w:t>16</w:t>
            </w:r>
          </w:p>
        </w:tc>
      </w:tr>
      <w:tr>
        <w:trPr>
          <w:cantSplit/>
        </w:trPr>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Comparative Security Assessment</w:t>
            </w:r>
          </w:p>
        </w:tc>
        <w:tc>
          <w:tcPr>
            <w:tcW w:type="dxa" w:w="4680"/>
            <w:vAlign w:val="center"/>
            <w:tcMar>
              <w:top w:w="80" w:type="dxa"/>
              <w:start w:w="120" w:type="dxa"/>
              <w:bottom w:w="80" w:type="dxa"/>
              <w:end w:w="120" w:type="dxa"/>
            </w:tcMar>
          </w:tcPr>
          <w:p>
            <w:pPr>
              <w:spacing w:after="40" w:line="240" w:lineRule="auto"/>
              <w:jc w:val="right"/>
            </w:pPr>
            <w:r>
              <w:rPr>
                <w:rFonts w:ascii="Calibri" w:hAnsi="Calibri"/>
                <w:color w:val="101828"/>
                <w:sz w:val="17"/>
              </w:rPr>
              <w:t>50</w:t>
            </w:r>
          </w:p>
        </w:tc>
      </w:tr>
      <w:tr>
        <w:trPr>
          <w:cantSplit/>
        </w:trPr>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Target Radical-Default Architecture</w:t>
            </w:r>
          </w:p>
        </w:tc>
        <w:tc>
          <w:tcPr>
            <w:tcW w:type="dxa" w:w="4680"/>
            <w:vAlign w:val="center"/>
            <w:tcMar>
              <w:top w:w="80" w:type="dxa"/>
              <w:start w:w="120" w:type="dxa"/>
              <w:bottom w:w="80" w:type="dxa"/>
              <w:end w:w="120" w:type="dxa"/>
            </w:tcMar>
          </w:tcPr>
          <w:p>
            <w:pPr>
              <w:spacing w:after="40" w:line="240" w:lineRule="auto"/>
              <w:jc w:val="right"/>
            </w:pPr>
            <w:r>
              <w:rPr>
                <w:rFonts w:ascii="Calibri" w:hAnsi="Calibri"/>
                <w:color w:val="101828"/>
                <w:sz w:val="17"/>
              </w:rPr>
              <w:t>52</w:t>
            </w:r>
          </w:p>
        </w:tc>
      </w:tr>
      <w:tr>
        <w:trPr>
          <w:cantSplit/>
        </w:trPr>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Remediation Program and Release Gates</w:t>
            </w:r>
          </w:p>
        </w:tc>
        <w:tc>
          <w:tcPr>
            <w:tcW w:type="dxa" w:w="4680"/>
            <w:vAlign w:val="center"/>
            <w:tcMar>
              <w:top w:w="80" w:type="dxa"/>
              <w:start w:w="120" w:type="dxa"/>
              <w:bottom w:w="80" w:type="dxa"/>
              <w:end w:w="120" w:type="dxa"/>
            </w:tcMar>
          </w:tcPr>
          <w:p>
            <w:pPr>
              <w:spacing w:after="40" w:line="240" w:lineRule="auto"/>
              <w:jc w:val="right"/>
            </w:pPr>
            <w:r>
              <w:rPr>
                <w:rFonts w:ascii="Calibri" w:hAnsi="Calibri"/>
                <w:color w:val="101828"/>
                <w:sz w:val="17"/>
              </w:rPr>
              <w:t>55</w:t>
            </w:r>
          </w:p>
        </w:tc>
      </w:tr>
      <w:tr>
        <w:trPr>
          <w:cantSplit/>
        </w:trPr>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Appendix A — Reproduction and Test Evidence</w:t>
            </w:r>
          </w:p>
        </w:tc>
        <w:tc>
          <w:tcPr>
            <w:tcW w:type="dxa" w:w="4680"/>
            <w:vAlign w:val="center"/>
            <w:tcMar>
              <w:top w:w="80" w:type="dxa"/>
              <w:start w:w="120" w:type="dxa"/>
              <w:bottom w:w="80" w:type="dxa"/>
              <w:end w:w="120" w:type="dxa"/>
            </w:tcMar>
          </w:tcPr>
          <w:p>
            <w:pPr>
              <w:spacing w:after="40" w:line="240" w:lineRule="auto"/>
              <w:jc w:val="right"/>
            </w:pPr>
            <w:r>
              <w:rPr>
                <w:rFonts w:ascii="Calibri" w:hAnsi="Calibri"/>
                <w:color w:val="101828"/>
                <w:sz w:val="17"/>
              </w:rPr>
              <w:t>57</w:t>
            </w:r>
          </w:p>
        </w:tc>
      </w:tr>
      <w:tr>
        <w:trPr>
          <w:cantSplit/>
        </w:trPr>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Appendix B — Control-Domain Scorecard</w:t>
            </w:r>
          </w:p>
        </w:tc>
        <w:tc>
          <w:tcPr>
            <w:tcW w:type="dxa" w:w="4680"/>
            <w:vAlign w:val="center"/>
            <w:tcMar>
              <w:top w:w="80" w:type="dxa"/>
              <w:start w:w="120" w:type="dxa"/>
              <w:bottom w:w="80" w:type="dxa"/>
              <w:end w:w="120" w:type="dxa"/>
            </w:tcMar>
          </w:tcPr>
          <w:p>
            <w:pPr>
              <w:spacing w:after="40" w:line="240" w:lineRule="auto"/>
              <w:jc w:val="right"/>
            </w:pPr>
            <w:r>
              <w:rPr>
                <w:rFonts w:ascii="Calibri" w:hAnsi="Calibri"/>
                <w:color w:val="101828"/>
                <w:sz w:val="17"/>
              </w:rPr>
              <w:t>58</w:t>
            </w:r>
          </w:p>
        </w:tc>
      </w:tr>
      <w:tr>
        <w:trPr>
          <w:cantSplit/>
        </w:trPr>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Appendix C — Primary References</w:t>
            </w:r>
          </w:p>
        </w:tc>
        <w:tc>
          <w:tcPr>
            <w:tcW w:type="dxa" w:w="4680"/>
            <w:vAlign w:val="center"/>
            <w:tcMar>
              <w:top w:w="80" w:type="dxa"/>
              <w:start w:w="120" w:type="dxa"/>
              <w:bottom w:w="80" w:type="dxa"/>
              <w:end w:w="120" w:type="dxa"/>
            </w:tcMar>
          </w:tcPr>
          <w:p>
            <w:pPr>
              <w:spacing w:after="40" w:line="240" w:lineRule="auto"/>
              <w:jc w:val="right"/>
            </w:pPr>
            <w:r>
              <w:rPr>
                <w:rFonts w:ascii="Calibri" w:hAnsi="Calibri"/>
                <w:color w:val="101828"/>
                <w:sz w:val="17"/>
              </w:rPr>
              <w:t>59</w:t>
            </w:r>
          </w:p>
        </w:tc>
      </w:tr>
      <w:tr>
        <w:trPr>
          <w:cantSplit/>
        </w:trPr>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Appendix D — Glossary</w:t>
            </w:r>
          </w:p>
        </w:tc>
        <w:tc>
          <w:tcPr>
            <w:tcW w:type="dxa" w:w="4680"/>
            <w:vAlign w:val="center"/>
            <w:tcMar>
              <w:top w:w="80" w:type="dxa"/>
              <w:start w:w="120" w:type="dxa"/>
              <w:bottom w:w="80" w:type="dxa"/>
              <w:end w:w="120" w:type="dxa"/>
            </w:tcMar>
          </w:tcPr>
          <w:p>
            <w:pPr>
              <w:spacing w:after="40" w:line="240" w:lineRule="auto"/>
              <w:jc w:val="right"/>
            </w:pPr>
            <w:r>
              <w:rPr>
                <w:rFonts w:ascii="Calibri" w:hAnsi="Calibri"/>
                <w:color w:val="101828"/>
                <w:sz w:val="17"/>
              </w:rPr>
              <w:t>60</w:t>
            </w:r>
          </w:p>
        </w:tc>
      </w:tr>
      <w:tr>
        <w:trPr>
          <w:cantSplit/>
        </w:trPr>
        <w:tc>
          <w:tcPr>
            <w:tcW w:type="dxa" w:w="4680"/>
            <w:vAlign w:val="center"/>
            <w:tcMar>
              <w:top w:w="80" w:type="dxa"/>
              <w:start w:w="120" w:type="dxa"/>
              <w:bottom w:w="80" w:type="dxa"/>
              <w:end w:w="120" w:type="dxa"/>
            </w:tcMar>
          </w:tcPr>
          <w:p>
            <w:pPr>
              <w:spacing w:after="40" w:line="240" w:lineRule="auto"/>
            </w:pPr>
            <w:r>
              <w:rPr>
                <w:rFonts w:ascii="Calibri" w:hAnsi="Calibri"/>
                <w:color w:val="101828"/>
                <w:sz w:val="17"/>
              </w:rPr>
              <w:t>System Conclusion — Keep, Redesign, Add, Remove</w:t>
            </w:r>
          </w:p>
        </w:tc>
        <w:tc>
          <w:tcPr>
            <w:tcW w:type="dxa" w:w="4680"/>
            <w:vAlign w:val="center"/>
            <w:tcMar>
              <w:top w:w="80" w:type="dxa"/>
              <w:start w:w="120" w:type="dxa"/>
              <w:bottom w:w="80" w:type="dxa"/>
              <w:end w:w="120" w:type="dxa"/>
            </w:tcMar>
          </w:tcPr>
          <w:p>
            <w:pPr>
              <w:spacing w:after="40" w:line="240" w:lineRule="auto"/>
              <w:jc w:val="right"/>
            </w:pPr>
            <w:r>
              <w:rPr>
                <w:rFonts w:ascii="Calibri" w:hAnsi="Calibri"/>
                <w:color w:val="101828"/>
                <w:sz w:val="17"/>
              </w:rPr>
              <w:t>61</w:t>
            </w:r>
          </w:p>
        </w:tc>
      </w:tr>
    </w:tbl>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tblHeader w:val="true"/>
        </w:trPr>
        <w:tc>
          <w:tcPr>
            <w:tcW w:type="dxa" w:w="9360"/>
            <w:vAlign w:val="center"/>
            <w:tcMar>
              <w:top w:w="80" w:type="dxa"/>
              <w:start w:w="120" w:type="dxa"/>
              <w:bottom w:w="80" w:type="dxa"/>
              <w:end w:w="120" w:type="dxa"/>
            </w:tcMar>
            <w:shd w:fill="EAF2F8"/>
          </w:tcPr>
          <w:p>
            <w:pPr>
              <w:spacing w:after="80" w:line="240" w:lineRule="auto"/>
            </w:pPr>
            <w:r>
              <w:rPr>
                <w:b/>
                <w:color w:val="17365D"/>
              </w:rPr>
              <w:t>Reading order</w:t>
              <w:br/>
            </w:r>
            <w:r>
              <w:rPr>
                <w:color w:val="101828"/>
              </w:rPr>
              <w:t>Executives should read Executive Summary, Comparative Assessment, Remediation Program, and System Conclusion. Engineering owners should use the detailed finding acceptance criteria as release gates.</w:t>
            </w:r>
          </w:p>
        </w:tc>
      </w:tr>
    </w:tbl>
    <w:p>
      <w:pPr>
        <w:spacing w:after="0"/>
      </w:pPr>
    </w:p>
    <w:p>
      <w:r>
        <w:br w:type="page"/>
      </w:r>
    </w:p>
    <w:p>
      <w:pPr>
        <w:pStyle w:val="Heading1"/>
      </w:pPr>
      <w:r>
        <w:t>Executive Summary</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tblHeader w:val="true"/>
        </w:trPr>
        <w:tc>
          <w:tcPr>
            <w:tcW w:type="dxa" w:w="9360"/>
            <w:vAlign w:val="center"/>
            <w:tcMar>
              <w:top w:w="80" w:type="dxa"/>
              <w:start w:w="120" w:type="dxa"/>
              <w:bottom w:w="80" w:type="dxa"/>
              <w:end w:w="120" w:type="dxa"/>
            </w:tcMar>
            <w:shd w:fill="FEE4E2"/>
          </w:tcPr>
          <w:p>
            <w:pPr>
              <w:spacing w:after="80" w:line="240" w:lineRule="auto"/>
            </w:pPr>
            <w:r>
              <w:rPr>
                <w:b/>
                <w:color w:val="B42318"/>
              </w:rPr>
              <w:t>Overall posture: RED — not suitable for high-value production secrets</w:t>
              <w:br/>
            </w:r>
            <w:r>
              <w:rPr>
                <w:color w:val="101828"/>
              </w:rPr>
              <w:t>Nightlock uses credible modern cryptographic primitives, but critical failures in post-lock secret lifetime and release authenticity prevent a KeePassXC-class assurance claim. The correct description today is a development-stage encrypted vault with a promising core, not an ‘absolutely protected’ password manager.</w:t>
            </w:r>
          </w:p>
        </w:tc>
      </w:tr>
    </w:tbl>
    <w:p>
      <w:pPr>
        <w:spacing w:after="0"/>
      </w:pPr>
    </w:p>
    <w:p>
      <w:r>
        <w:rPr>
          <w:i w:val="0"/>
        </w:rPr>
        <w:t>No password manager can protect an unlocked secret from a fully compromised operating system, administrator, firmware, camera, or keylogger. ‘Absolute protection from every attack’ is not an achievable security property. A defensible product instead publishes a precise threat model, uses strong defaults to minimize exposure, makes convenience relaxations explicit, and supports claims with repeatable tests and independent review.</w:t>
      </w:r>
    </w:p>
    <w:p>
      <w:r>
        <w:drawing>
          <wp:inline xmlns:a="http://schemas.openxmlformats.org/drawingml/2006/main" xmlns:pic="http://schemas.openxmlformats.org/drawingml/2006/picture">
            <wp:extent cx="5852160" cy="1755648"/>
            <wp:docPr id="1" name="Picture 1" descr="Horizontal stacked bar showing the distribution of 29 Nightlock findings by Critical, High, Medium, and Low severity." title="Horizontal stacked bar showing the distribution of 29 Nightlock findings by Crit"/>
            <wp:cNvGraphicFramePr>
              <a:graphicFrameLocks noChangeAspect="1"/>
            </wp:cNvGraphicFramePr>
            <a:graphic>
              <a:graphicData uri="http://schemas.openxmlformats.org/drawingml/2006/picture">
                <pic:pic>
                  <pic:nvPicPr>
                    <pic:cNvPr id="0" name="risk_distribution.png"/>
                    <pic:cNvPicPr/>
                  </pic:nvPicPr>
                  <pic:blipFill>
                    <a:blip r:embed="rId11"/>
                    <a:stretch>
                      <a:fillRect/>
                    </a:stretch>
                  </pic:blipFill>
                  <pic:spPr>
                    <a:xfrm>
                      <a:off x="0" y="0"/>
                      <a:ext cx="5852160" cy="1755648"/>
                    </a:xfrm>
                    <a:prstGeom prst="rect"/>
                  </pic:spPr>
                </pic:pic>
              </a:graphicData>
            </a:graphic>
          </wp:inline>
        </w:drawing>
      </w:r>
    </w:p>
    <w:p>
      <w:pPr>
        <w:pStyle w:val="Caption"/>
      </w:pPr>
      <w:r>
        <w:t>Figure 1. Distribution of 29 consolidated findings; systemic design gaps use the report rubric rather than forced CVSS scores.</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72"/>
        <w:gridCol w:w="1872"/>
        <w:gridCol w:w="1872"/>
        <w:gridCol w:w="1872"/>
        <w:gridCol w:w="1872"/>
      </w:tblGrid>
      <w:tr>
        <w:trPr>
          <w:cantSplit/>
          <w:tblHeader w:val="true"/>
        </w:trPr>
        <w:tc>
          <w:tcPr>
            <w:tcW w:type="dxa" w:w="1872"/>
            <w:vAlign w:val="center"/>
            <w:tcMar>
              <w:top w:w="80" w:type="dxa"/>
              <w:start w:w="120" w:type="dxa"/>
              <w:bottom w:w="80" w:type="dxa"/>
              <w:end w:w="120" w:type="dxa"/>
            </w:tcMar>
            <w:shd w:fill="F2F4F7"/>
          </w:tcPr>
          <w:p>
            <w:pPr>
              <w:spacing w:after="40" w:line="240" w:lineRule="auto"/>
            </w:pPr>
            <w:r>
              <w:rPr>
                <w:rFonts w:ascii="Calibri" w:hAnsi="Calibri"/>
                <w:b/>
                <w:color w:val="17365D"/>
                <w:sz w:val="17"/>
              </w:rPr>
              <w:t>Total</w:t>
            </w:r>
          </w:p>
        </w:tc>
        <w:tc>
          <w:tcPr>
            <w:tcW w:type="dxa" w:w="1872"/>
            <w:vAlign w:val="center"/>
            <w:tcMar>
              <w:top w:w="80" w:type="dxa"/>
              <w:start w:w="120" w:type="dxa"/>
              <w:bottom w:w="80" w:type="dxa"/>
              <w:end w:w="120" w:type="dxa"/>
            </w:tcMar>
            <w:shd w:fill="F2F4F7"/>
          </w:tcPr>
          <w:p>
            <w:pPr>
              <w:spacing w:after="40" w:line="240" w:lineRule="auto"/>
            </w:pPr>
            <w:r>
              <w:rPr>
                <w:rFonts w:ascii="Calibri" w:hAnsi="Calibri"/>
                <w:b/>
                <w:color w:val="17365D"/>
                <w:sz w:val="17"/>
              </w:rPr>
              <w:t>Critical</w:t>
            </w:r>
          </w:p>
        </w:tc>
        <w:tc>
          <w:tcPr>
            <w:tcW w:type="dxa" w:w="1872"/>
            <w:vAlign w:val="center"/>
            <w:tcMar>
              <w:top w:w="80" w:type="dxa"/>
              <w:start w:w="120" w:type="dxa"/>
              <w:bottom w:w="80" w:type="dxa"/>
              <w:end w:w="120" w:type="dxa"/>
            </w:tcMar>
            <w:shd w:fill="F2F4F7"/>
          </w:tcPr>
          <w:p>
            <w:pPr>
              <w:spacing w:after="40" w:line="240" w:lineRule="auto"/>
            </w:pPr>
            <w:r>
              <w:rPr>
                <w:rFonts w:ascii="Calibri" w:hAnsi="Calibri"/>
                <w:b/>
                <w:color w:val="17365D"/>
                <w:sz w:val="17"/>
              </w:rPr>
              <w:t>High</w:t>
            </w:r>
          </w:p>
        </w:tc>
        <w:tc>
          <w:tcPr>
            <w:tcW w:type="dxa" w:w="1872"/>
            <w:vAlign w:val="center"/>
            <w:tcMar>
              <w:top w:w="80" w:type="dxa"/>
              <w:start w:w="120" w:type="dxa"/>
              <w:bottom w:w="80" w:type="dxa"/>
              <w:end w:w="120" w:type="dxa"/>
            </w:tcMar>
            <w:shd w:fill="F2F4F7"/>
          </w:tcPr>
          <w:p>
            <w:pPr>
              <w:spacing w:after="40" w:line="240" w:lineRule="auto"/>
            </w:pPr>
            <w:r>
              <w:rPr>
                <w:rFonts w:ascii="Calibri" w:hAnsi="Calibri"/>
                <w:b/>
                <w:color w:val="17365D"/>
                <w:sz w:val="17"/>
              </w:rPr>
              <w:t>Medium</w:t>
            </w:r>
          </w:p>
        </w:tc>
        <w:tc>
          <w:tcPr>
            <w:tcW w:type="dxa" w:w="1872"/>
            <w:vAlign w:val="center"/>
            <w:tcMar>
              <w:top w:w="80" w:type="dxa"/>
              <w:start w:w="120" w:type="dxa"/>
              <w:bottom w:w="80" w:type="dxa"/>
              <w:end w:w="120" w:type="dxa"/>
            </w:tcMar>
            <w:shd w:fill="F2F4F7"/>
          </w:tcPr>
          <w:p>
            <w:pPr>
              <w:spacing w:after="40" w:line="240" w:lineRule="auto"/>
            </w:pPr>
            <w:r>
              <w:rPr>
                <w:rFonts w:ascii="Calibri" w:hAnsi="Calibri"/>
                <w:b/>
                <w:color w:val="17365D"/>
                <w:sz w:val="17"/>
              </w:rPr>
              <w:t>Low</w:t>
            </w:r>
          </w:p>
        </w:tc>
      </w:tr>
      <w:tr>
        <w:trPr>
          <w:cantSplit/>
        </w:trPr>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29</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2</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20</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6</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1</w:t>
            </w:r>
          </w:p>
        </w:tc>
      </w:tr>
    </w:tbl>
    <w:p>
      <w:pPr>
        <w:pStyle w:val="Heading2"/>
      </w:pPr>
      <w:r>
        <w:t>Decisive Assessment</w:t>
      </w:r>
    </w:p>
    <w:p>
      <w:pPr>
        <w:pStyle w:val="ListBullet"/>
      </w:pPr>
      <w:r>
        <w:t>At-rest encryption is the strongest part of Nightlock: Argon2id, XChaCha20-Poly1305, random salt/nonce, header authentication, and a Qt-free core are sound foundations.</w:t>
      </w:r>
    </w:p>
    <w:p>
      <w:pPr>
        <w:pStyle w:val="ListBullet"/>
      </w:pPr>
      <w:r>
        <w:t>The dominant confidentiality risk is outside the cipher. Locking leaves the master password and selected secrets in ordinary Qt memory; clipboard and screen capture lack lifecycle controls.</w:t>
      </w:r>
    </w:p>
    <w:p>
      <w:pPr>
        <w:pStyle w:val="ListBullet"/>
      </w:pPr>
      <w:r>
        <w:t>The dominant trust risk is distribution. Users cannot authenticate current packages, while the UI implies automatic updates that do not exist.</w:t>
      </w:r>
    </w:p>
    <w:p>
      <w:pPr>
        <w:pStyle w:val="ListBullet"/>
      </w:pPr>
      <w:r>
        <w:t>Persistence is not adversarially safe: a confirmed symlink test overwrote another same-user file; rekey leaves an old-password backup; concurrent writers silently replace each other; save failure can discard edits.</w:t>
      </w:r>
    </w:p>
    <w:p>
      <w:pPr>
        <w:pStyle w:val="ListBullet"/>
      </w:pPr>
      <w:r>
        <w:t>Nightlock is materially behind KeePassXC in composite keys, calibrated KDF controls, KDBX maturity, auto-lock, capture/clipboard policy, safe credential transfer, signed releases, and independent audit/certification.</w:t>
      </w:r>
    </w:p>
    <w:p>
      <w:pPr>
        <w:pStyle w:val="ListBullet"/>
      </w:pPr>
      <w:r>
        <w:t>The gap is repairable, but it requires an architectural security program—not isolated UI settings or stronger cipher parameters alone.</w:t>
      </w:r>
    </w:p>
    <w:p>
      <w:pPr>
        <w:pStyle w:val="Heading2"/>
      </w:pPr>
      <w:r>
        <w:t>Immediate Stop-Ship Conditions</w:t>
      </w:r>
    </w:p>
    <w:p>
      <w:pPr>
        <w:numPr>
          <w:ilvl w:val="0"/>
          <w:numId w:val="10"/>
        </w:numPr>
        <w:spacing w:after="160" w:line="280" w:lineRule="auto"/>
      </w:pPr>
      <w:r>
        <w:t>Do not market or release Nightlock as an ‘absolute’, ‘radical’, ‘KeePass-class’, or production-ready password manager while Critical findings remain.</w:t>
      </w:r>
    </w:p>
    <w:p>
      <w:pPr>
        <w:numPr>
          <w:ilvl w:val="0"/>
          <w:numId w:val="10"/>
        </w:numPr>
        <w:spacing w:after="160" w:line="280" w:lineRule="auto"/>
      </w:pPr>
      <w:r>
        <w:t>Patch the Qt SVG exposure, remove production test hooks, remove fictitious updater controls, and disable the legacy Touch ID fallback before another public binary.</w:t>
      </w:r>
    </w:p>
    <w:p>
      <w:pPr>
        <w:numPr>
          <w:ilvl w:val="0"/>
          <w:numId w:val="10"/>
        </w:numPr>
        <w:spacing w:after="160" w:line="280" w:lineRule="auto"/>
      </w:pPr>
      <w:r>
        <w:t>Fix post-lock UI purge, master-password policy, old-key backups, clipboard expiry, automatic lock, symlink-safe writes, and save-failure behavior as P0 product controls.</w:t>
      </w:r>
    </w:p>
    <w:p>
      <w:pPr>
        <w:numPr>
          <w:ilvl w:val="0"/>
          <w:numId w:val="10"/>
        </w:numPr>
        <w:spacing w:after="160" w:line="280" w:lineRule="auto"/>
      </w:pPr>
      <w:r>
        <w:t>Ship only publisher-authenticated packages with verified platform hardening and a protected release process.</w:t>
      </w:r>
    </w:p>
    <w:p>
      <w:pPr>
        <w:numPr>
          <w:ilvl w:val="0"/>
          <w:numId w:val="10"/>
        </w:numPr>
        <w:spacing w:after="160" w:line="280" w:lineRule="auto"/>
      </w:pPr>
      <w:r>
        <w:t>Complete a v2 key/lifecycle design and independent review before claiming parity with KeePassXC/KDBX assurance.</w:t>
      </w:r>
    </w:p>
    <w:p>
      <w:r>
        <w:br w:type="page"/>
      </w:r>
    </w:p>
    <w:p>
      <w:pPr>
        <w:pStyle w:val="Heading1"/>
      </w:pPr>
      <w:r>
        <w:t>Scope, Methodology, and Rating Model</w:t>
      </w:r>
    </w:p>
    <w:p>
      <w:pPr>
        <w:pStyle w:val="Heading2"/>
      </w:pPr>
      <w:r>
        <w:t>Assessment Scope</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120"/>
        <w:gridCol w:w="3120"/>
        <w:gridCol w:w="3120"/>
      </w:tblGrid>
      <w:tr>
        <w:trPr>
          <w:cantSplit/>
          <w:tblHeader w:val="true"/>
        </w:trPr>
        <w:tc>
          <w:tcPr>
            <w:tcW w:type="dxa" w:w="3120"/>
            <w:vAlign w:val="center"/>
            <w:tcMar>
              <w:top w:w="80" w:type="dxa"/>
              <w:start w:w="120" w:type="dxa"/>
              <w:bottom w:w="80" w:type="dxa"/>
              <w:end w:w="120" w:type="dxa"/>
            </w:tcMar>
            <w:shd w:fill="F2F4F7"/>
          </w:tcPr>
          <w:p>
            <w:pPr>
              <w:spacing w:after="40" w:line="240" w:lineRule="auto"/>
            </w:pPr>
            <w:r>
              <w:rPr>
                <w:rFonts w:ascii="Calibri" w:hAnsi="Calibri"/>
                <w:b/>
                <w:color w:val="17365D"/>
                <w:sz w:val="17"/>
              </w:rPr>
              <w:t>Area</w:t>
            </w:r>
          </w:p>
        </w:tc>
        <w:tc>
          <w:tcPr>
            <w:tcW w:type="dxa" w:w="3120"/>
            <w:vAlign w:val="center"/>
            <w:tcMar>
              <w:top w:w="80" w:type="dxa"/>
              <w:start w:w="120" w:type="dxa"/>
              <w:bottom w:w="80" w:type="dxa"/>
              <w:end w:w="120" w:type="dxa"/>
            </w:tcMar>
            <w:shd w:fill="F2F4F7"/>
          </w:tcPr>
          <w:p>
            <w:pPr>
              <w:spacing w:after="40" w:line="240" w:lineRule="auto"/>
            </w:pPr>
            <w:r>
              <w:rPr>
                <w:rFonts w:ascii="Calibri" w:hAnsi="Calibri"/>
                <w:b/>
                <w:color w:val="17365D"/>
                <w:sz w:val="17"/>
              </w:rPr>
              <w:t>Included</w:t>
            </w:r>
          </w:p>
        </w:tc>
        <w:tc>
          <w:tcPr>
            <w:tcW w:type="dxa" w:w="3120"/>
            <w:vAlign w:val="center"/>
            <w:tcMar>
              <w:top w:w="80" w:type="dxa"/>
              <w:start w:w="120" w:type="dxa"/>
              <w:bottom w:w="80" w:type="dxa"/>
              <w:end w:w="120" w:type="dxa"/>
            </w:tcMar>
            <w:shd w:fill="F2F4F7"/>
          </w:tcPr>
          <w:p>
            <w:pPr>
              <w:spacing w:after="40" w:line="240" w:lineRule="auto"/>
            </w:pPr>
            <w:r>
              <w:rPr>
                <w:rFonts w:ascii="Calibri" w:hAnsi="Calibri"/>
                <w:b/>
                <w:color w:val="17365D"/>
                <w:sz w:val="17"/>
              </w:rPr>
              <w:t>Evidence basis</w:t>
            </w:r>
          </w:p>
        </w:tc>
      </w:tr>
      <w:tr>
        <w:trPr>
          <w:cantSplit/>
        </w:trPr>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Cryptography</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KDF, AEAD, randomness, key lifetime, format header, backups</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Source, format docs, test vectors, primary standards</w:t>
            </w:r>
          </w:p>
        </w:tc>
      </w:tr>
      <w:tr>
        <w:trPr>
          <w:cantSplit/>
        </w:trPr>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Desktop</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Unlock, lock, widgets, edit/reveal, clipboard, URLs, session, Touch ID</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Qt source trace and negative control search</w:t>
            </w:r>
          </w:p>
        </w:tc>
      </w:tr>
      <w:tr>
        <w:trPr>
          <w:cantSplit/>
        </w:trPr>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CLI</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Password input, reveal/output, mutation, persistence</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Source trace and smoke execution</w:t>
            </w:r>
          </w:p>
        </w:tc>
      </w:tr>
      <w:tr>
        <w:trPr>
          <w:cantSplit/>
        </w:trPr>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Persistence</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Atomicity, permissions, links, concurrency, rollback, failure</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Source trace and two synthetic reproductions</w:t>
            </w:r>
          </w:p>
        </w:tc>
      </w:tr>
      <w:tr>
        <w:trPr>
          <w:cantSplit/>
        </w:trPr>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Supply chain</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Dependencies, CI, packages, signing, update, hardening, governance</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Workflow/package source and vendor advisories</w:t>
            </w:r>
          </w:p>
        </w:tc>
      </w:tr>
      <w:tr>
        <w:trPr>
          <w:cantSplit/>
        </w:trPr>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Benchmark</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KeePassXC/KDBX primary; KeePass, 1Password, Bitwarden, Proton Pass secondary</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Official specifications, guides, white papers, audits</w:t>
            </w:r>
          </w:p>
        </w:tc>
      </w:tr>
    </w:tbl>
    <w:p>
      <w:pPr>
        <w:pStyle w:val="Heading2"/>
      </w:pPr>
      <w:r>
        <w:t>Review Activities</w:t>
      </w:r>
    </w:p>
    <w:p>
      <w:pPr>
        <w:pStyle w:val="ListBullet"/>
      </w:pPr>
      <w:r>
        <w:t>Manual review of the scoped repository at commit db8a5d917478, including CMake, workflows, packaging, core, desktop, CLI, tests, security documentation, and governance files.</w:t>
      </w:r>
    </w:p>
    <w:p>
      <w:pPr>
        <w:pStyle w:val="ListBullet"/>
      </w:pPr>
      <w:r>
        <w:t>Data-flow and trust-boundary analysis from master-password entry through KDF, decrypted model, Qt rendering, clipboard, serialization, atomic replacement, backup, and release.</w:t>
      </w:r>
    </w:p>
    <w:p>
      <w:pPr>
        <w:pStyle w:val="ListBullet"/>
      </w:pPr>
      <w:r>
        <w:t>Release build tests: ctest --test-dir build --output-on-failure -C Release — 2/2 passed.</w:t>
      </w:r>
    </w:p>
    <w:p>
      <w:pPr>
        <w:pStyle w:val="ListBullet"/>
      </w:pPr>
      <w:r>
        <w:t>Independent Debug ASan+UBSan build of core+CLI followed by ctest — 2/2 passed with no sanitizer report. Desktop/platform code was not included in that sanitizer run.</w:t>
      </w:r>
    </w:p>
    <w:p>
      <w:pPr>
        <w:pStyle w:val="ListBullet"/>
      </w:pPr>
      <w:r>
        <w:t>Synthetic old-password backup reproduction and synthetic POSIX symlink/mode reproduction. No real credential, vault, or unrelated user file was accessed.</w:t>
      </w:r>
    </w:p>
    <w:p>
      <w:pPr>
        <w:pStyle w:val="ListBullet"/>
      </w:pPr>
      <w:r>
        <w:t>Primary-source comparison with current KeePassXC 2.7.12, KDBX 4.1, public KeePassXC audits/certification, Argon2/OWASP/NIST guidance, platform signing guidance, and vendor security advisories.</w:t>
      </w:r>
    </w:p>
    <w:p>
      <w:pPr>
        <w:pStyle w:val="Heading2"/>
      </w:pPr>
      <w:r>
        <w:t>Limitations</w:t>
      </w:r>
    </w:p>
    <w:p>
      <w:pPr>
        <w:pStyle w:val="ListBullet"/>
      </w:pPr>
      <w:r>
        <w:t>This is a deep source and architecture assessment, not a formal penetration test, cryptographic proof, or certification.</w:t>
      </w:r>
    </w:p>
    <w:p>
      <w:pPr>
        <w:pStyle w:val="ListBullet"/>
      </w:pPr>
      <w:r>
        <w:t>No live Windows/Linux packaging run, Authenticode/notarization verification, macOS Keychain attack test, GUI memory dump, clipboard-manager test, or screen-recording test was completed.</w:t>
      </w:r>
    </w:p>
    <w:p>
      <w:pPr>
        <w:pStyle w:val="ListBullet"/>
      </w:pPr>
      <w:r>
        <w:t>External GitHub branch rules, protected environments, account MFA, maintainer devices, and private incident procedures were not visible; absence from source is not proof of external absence.</w:t>
      </w:r>
    </w:p>
    <w:p>
      <w:pPr>
        <w:pStyle w:val="ListBullet"/>
      </w:pPr>
      <w:r>
        <w:t>Competitor controls and audits are version- and platform-bound. KeePassXC is a benchmark, not a claim of perfection; privileged live-endpoint compromise remains a fundamental limit.</w:t>
      </w:r>
    </w:p>
    <w:p>
      <w:pPr>
        <w:pStyle w:val="Heading2"/>
      </w:pPr>
      <w:r>
        <w:t>Severity and Confidence</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120"/>
        <w:gridCol w:w="3120"/>
        <w:gridCol w:w="3120"/>
      </w:tblGrid>
      <w:tr>
        <w:trPr>
          <w:cantSplit/>
          <w:tblHeader w:val="true"/>
        </w:trPr>
        <w:tc>
          <w:tcPr>
            <w:tcW w:type="dxa" w:w="3120"/>
            <w:vAlign w:val="center"/>
            <w:tcMar>
              <w:top w:w="80" w:type="dxa"/>
              <w:start w:w="120" w:type="dxa"/>
              <w:bottom w:w="80" w:type="dxa"/>
              <w:end w:w="120" w:type="dxa"/>
            </w:tcMar>
            <w:shd w:fill="F2F4F7"/>
          </w:tcPr>
          <w:p>
            <w:pPr>
              <w:spacing w:after="40" w:line="240" w:lineRule="auto"/>
            </w:pPr>
            <w:r>
              <w:rPr>
                <w:rFonts w:ascii="Calibri" w:hAnsi="Calibri"/>
                <w:b/>
                <w:color w:val="17365D"/>
                <w:sz w:val="17"/>
              </w:rPr>
              <w:t>Rating</w:t>
            </w:r>
          </w:p>
        </w:tc>
        <w:tc>
          <w:tcPr>
            <w:tcW w:type="dxa" w:w="3120"/>
            <w:vAlign w:val="center"/>
            <w:tcMar>
              <w:top w:w="80" w:type="dxa"/>
              <w:start w:w="120" w:type="dxa"/>
              <w:bottom w:w="80" w:type="dxa"/>
              <w:end w:w="120" w:type="dxa"/>
            </w:tcMar>
            <w:shd w:fill="F2F4F7"/>
          </w:tcPr>
          <w:p>
            <w:pPr>
              <w:spacing w:after="40" w:line="240" w:lineRule="auto"/>
            </w:pPr>
            <w:r>
              <w:rPr>
                <w:rFonts w:ascii="Calibri" w:hAnsi="Calibri"/>
                <w:b/>
                <w:color w:val="17365D"/>
                <w:sz w:val="17"/>
              </w:rPr>
              <w:t>Meaning</w:t>
            </w:r>
          </w:p>
        </w:tc>
        <w:tc>
          <w:tcPr>
            <w:tcW w:type="dxa" w:w="3120"/>
            <w:vAlign w:val="center"/>
            <w:tcMar>
              <w:top w:w="80" w:type="dxa"/>
              <w:start w:w="120" w:type="dxa"/>
              <w:bottom w:w="80" w:type="dxa"/>
              <w:end w:w="120" w:type="dxa"/>
            </w:tcMar>
            <w:shd w:fill="F2F4F7"/>
          </w:tcPr>
          <w:p>
            <w:pPr>
              <w:spacing w:after="40" w:line="240" w:lineRule="auto"/>
            </w:pPr>
            <w:r>
              <w:rPr>
                <w:rFonts w:ascii="Calibri" w:hAnsi="Calibri"/>
                <w:b/>
                <w:color w:val="17365D"/>
                <w:sz w:val="17"/>
              </w:rPr>
              <w:t>Expected action</w:t>
            </w:r>
          </w:p>
        </w:tc>
      </w:tr>
      <w:tr>
        <w:trPr>
          <w:cantSplit/>
        </w:trPr>
        <w:tc>
          <w:tcPr>
            <w:tcW w:type="dxa" w:w="3120"/>
            <w:shd w:fill="FEE4E2"/>
            <w:vAlign w:val="center"/>
            <w:tcMar>
              <w:top w:w="80" w:type="dxa"/>
              <w:start w:w="120" w:type="dxa"/>
              <w:bottom w:w="80" w:type="dxa"/>
              <w:end w:w="120" w:type="dxa"/>
            </w:tcMar>
          </w:tcPr>
          <w:p>
            <w:pPr>
              <w:spacing w:after="40" w:line="240" w:lineRule="auto"/>
            </w:pPr>
            <w:r>
              <w:rPr>
                <w:rFonts w:ascii="Calibri" w:hAnsi="Calibri"/>
                <w:b/>
                <w:color w:val="101828"/>
                <w:sz w:val="17"/>
              </w:rPr>
              <w:t>Critical</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Plausible vault-wide confidentiality/integrity compromise or failure of release identity; controls beneath it cannot compensate.</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Stop ship; immediate owner and verified fix.</w:t>
            </w:r>
          </w:p>
        </w:tc>
      </w:tr>
      <w:tr>
        <w:trPr>
          <w:cantSplit/>
        </w:trPr>
        <w:tc>
          <w:tcPr>
            <w:tcW w:type="dxa" w:w="312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Serious secret exposure, data loss, denial, or major required control absent under realistic conditions.</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P0/P1 remediation before production claim.</w:t>
            </w:r>
          </w:p>
        </w:tc>
      </w:tr>
      <w:tr>
        <w:trPr>
          <w:cantSplit/>
        </w:trPr>
        <w:tc>
          <w:tcPr>
            <w:tcW w:type="dxa" w:w="3120"/>
            <w:shd w:fill="FEF0C7"/>
            <w:vAlign w:val="center"/>
            <w:tcMar>
              <w:top w:w="80" w:type="dxa"/>
              <w:start w:w="120" w:type="dxa"/>
              <w:bottom w:w="80" w:type="dxa"/>
              <w:end w:w="120" w:type="dxa"/>
            </w:tcMar>
          </w:tcPr>
          <w:p>
            <w:pPr>
              <w:spacing w:after="40" w:line="240" w:lineRule="auto"/>
            </w:pPr>
            <w:r>
              <w:rPr>
                <w:rFonts w:ascii="Calibri" w:hAnsi="Calibri"/>
                <w:b/>
                <w:color w:val="101828"/>
                <w:sz w:val="17"/>
              </w:rPr>
              <w:t>Medium</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Constrained exploit, material defense-in-depth/assurance gap, or misleading behavior.</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Planned release-bound remediation.</w:t>
            </w:r>
          </w:p>
        </w:tc>
      </w:tr>
      <w:tr>
        <w:trPr>
          <w:cantSplit/>
        </w:trPr>
        <w:tc>
          <w:tcPr>
            <w:tcW w:type="dxa" w:w="3120"/>
            <w:shd w:fill="EAECF0"/>
            <w:vAlign w:val="center"/>
            <w:tcMar>
              <w:top w:w="80" w:type="dxa"/>
              <w:start w:w="120" w:type="dxa"/>
              <w:bottom w:w="80" w:type="dxa"/>
              <w:end w:w="120" w:type="dxa"/>
            </w:tcMar>
          </w:tcPr>
          <w:p>
            <w:pPr>
              <w:spacing w:after="40" w:line="240" w:lineRule="auto"/>
            </w:pPr>
            <w:r>
              <w:rPr>
                <w:rFonts w:ascii="Calibri" w:hAnsi="Calibri"/>
                <w:b/>
                <w:color w:val="101828"/>
                <w:sz w:val="17"/>
              </w:rPr>
              <w:t>Low</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Limited impact or hypothesis requiring more validation.</w:t>
            </w:r>
          </w:p>
        </w:tc>
        <w:tc>
          <w:tcPr>
            <w:tcW w:type="dxa" w:w="3120"/>
            <w:vAlign w:val="center"/>
            <w:tcMar>
              <w:top w:w="80" w:type="dxa"/>
              <w:start w:w="120" w:type="dxa"/>
              <w:bottom w:w="80" w:type="dxa"/>
              <w:end w:w="120" w:type="dxa"/>
            </w:tcMar>
          </w:tcPr>
          <w:p>
            <w:pPr>
              <w:spacing w:after="40" w:line="240" w:lineRule="auto"/>
            </w:pPr>
            <w:r>
              <w:rPr>
                <w:rFonts w:ascii="Calibri" w:hAnsi="Calibri"/>
                <w:color w:val="101828"/>
                <w:sz w:val="17"/>
              </w:rPr>
              <w:t>Track and close with regression evidence.</w:t>
            </w:r>
          </w:p>
        </w:tc>
      </w:tr>
    </w:tbl>
    <w:p>
      <w:r>
        <w:rPr>
          <w:i w:val="0"/>
        </w:rPr>
        <w:t>CVSS v4.0 is retained where a vendor CVE applies (CVE-2026-6210). It is not forced onto architectural or assurance gaps, because doing so would create false precision. Confidence is High when directly traced/reproduced, Medium when code is confirmed but an end-to-end delivery path remains unproven.</w:t>
      </w:r>
    </w:p>
    <w:p>
      <w:r>
        <w:br w:type="page"/>
      </w:r>
    </w:p>
    <w:p>
      <w:pPr>
        <w:pStyle w:val="Heading1"/>
      </w:pPr>
      <w:r>
        <w:t>Threat Model and Security Claims</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tblHeader w:val="true"/>
        </w:trPr>
        <w:tc>
          <w:tcPr>
            <w:tcW w:type="dxa" w:w="9360"/>
            <w:vAlign w:val="center"/>
            <w:tcMar>
              <w:top w:w="80" w:type="dxa"/>
              <w:start w:w="120" w:type="dxa"/>
              <w:bottom w:w="80" w:type="dxa"/>
              <w:end w:w="120" w:type="dxa"/>
            </w:tcMar>
            <w:shd w:fill="FEF0C7"/>
          </w:tcPr>
          <w:p>
            <w:pPr>
              <w:spacing w:after="80" w:line="240" w:lineRule="auto"/>
            </w:pPr>
            <w:r>
              <w:rPr>
                <w:b/>
                <w:color w:val="B54708"/>
              </w:rPr>
              <w:t>Non-negotiable claim boundary</w:t>
              <w:br/>
            </w:r>
            <w:r>
              <w:rPr>
                <w:color w:val="101828"/>
              </w:rPr>
              <w:t>Nightlock can make vault theft, offline guessing, tampering, casual local access, clipboard/screen leakage, unsafe files, and supply-chain substitution materially harder. It cannot guarantee secrets against a malicious kernel/firmware, administrator with unrestricted live-process access, hardware keylogger, or camera while the user reveals a secret.</w:t>
            </w:r>
          </w:p>
        </w:tc>
      </w:tr>
    </w:tbl>
    <w:p>
      <w:pPr>
        <w:spacing w:after="0"/>
      </w:pPr>
    </w:p>
    <w:p>
      <w:pPr>
        <w:pStyle w:val="Heading2"/>
      </w:pPr>
      <w:r>
        <w:t>Protected Assets</w:t>
      </w:r>
    </w:p>
    <w:p>
      <w:pPr>
        <w:pStyle w:val="ListBullet"/>
      </w:pPr>
      <w:r>
        <w:t>Master password, password-derived keys, vault root/data keys, key files, hardware-token responses, recovery material, and device quick-unlock slots.</w:t>
      </w:r>
    </w:p>
    <w:p>
      <w:pPr>
        <w:pStyle w:val="ListBullet"/>
      </w:pPr>
      <w:r>
        <w:t>Passwords, passkeys, TOTP seeds/codes, seed phrases, recovery codes, secure notes, usernames, URLs, group names, icons, timestamps, and relationship metadata.</w:t>
      </w:r>
    </w:p>
    <w:p>
      <w:pPr>
        <w:pStyle w:val="ListBullet"/>
      </w:pPr>
      <w:r>
        <w:t>Current vault, managed backups, conflict/recovery copies, clipboard contents, UI buffers, search indices, swap/hibernation/crash data, and audit state.</w:t>
      </w:r>
    </w:p>
    <w:p>
      <w:pPr>
        <w:pStyle w:val="ListBullet"/>
      </w:pPr>
      <w:r>
        <w:t>Release signing keys, update metadata, CI credentials, dependency identities, source provenance, and user trust in the Nightlock publisher.</w:t>
      </w:r>
    </w:p>
    <w:p>
      <w:pPr>
        <w:pStyle w:val="Heading2"/>
      </w:pPr>
      <w:r>
        <w:t>Attacker Classes</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40"/>
        <w:gridCol w:w="2340"/>
        <w:gridCol w:w="2340"/>
        <w:gridCol w:w="2340"/>
      </w:tblGrid>
      <w:tr>
        <w:trPr>
          <w:cantSplit/>
          <w:tblHeader w:val="true"/>
        </w:trPr>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Attacker</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Capability</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Expected protection</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Hard limit</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Vault thief / cloud breach</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Copies .nlck, backups, versions; unlimited offline work</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Strong master/factors, calibrated KDF, AEAD, no metadata leakage, rollback warning</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Weak user-chosen password can still fail</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Same-user local process</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Reads clipboard, invokes handlers, observes files/process args</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Short secret lifetime, ownership clearing, isolation, sandbox, safe paths</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A privileged live-process reader may win</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Unattended physical user</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Uses unlocked session, records screen</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Fast auto-lock, reauth, capture protection, masked UI</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Camera/hardware capture cannot be prevented</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Malicious vault/content</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Controls format bytes, URLs, icon path, known password</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Strict bounds, safe rendering/handlers, sandboxed decoding, fuzzing</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User may explicitly override warnings</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Supply-chain attacker</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Alters action/dependency/build/download/update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Pinned inputs, isolated build, signatures, provenance, protected release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Compromised trusted signing authority requires response</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Admin/kernel/firmware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Reads/modifies all memory and I/O</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Minimize duration/footprint; hardware factor; accurate warning</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Cannot be completely defended in software</w:t>
            </w:r>
          </w:p>
        </w:tc>
      </w:tr>
    </w:tbl>
    <w:p>
      <w:pPr>
        <w:pStyle w:val="Heading2"/>
      </w:pPr>
      <w:r>
        <w:t>Radical-Default Policy</w:t>
      </w:r>
    </w:p>
    <w:p>
      <w:r>
        <w:rPr>
          <w:i w:val="0"/>
        </w:rPr>
        <w:t>The secure profile should be the default, not an expert option. Convenience settings may relax the controls below, but the UI must explain the affected attack paths, show the current posture, and allow one-click restoration.</w:t>
      </w:r>
    </w:p>
    <w:p>
      <w:pPr>
        <w:pStyle w:val="ListBullet"/>
      </w:pPr>
      <w:r>
        <w:t>Sixty-second inactivity lock; immediate OS lock/session switch/suspend; rapid minimize/background lock.</w:t>
      </w:r>
    </w:p>
    <w:p>
      <w:pPr>
        <w:pStyle w:val="ListBullet"/>
      </w:pPr>
      <w:r>
        <w:t>Masked secrets; timed reveal; reauthentication for seed/export/security changes; screenshot blocking where supported.</w:t>
      </w:r>
    </w:p>
    <w:p>
      <w:pPr>
        <w:pStyle w:val="ListBullet"/>
      </w:pPr>
      <w:r>
        <w:t>Owned 10-second clipboard, clear on lock/exit, and safer Auto-Type/origin-bound browser integration.</w:t>
      </w:r>
    </w:p>
    <w:p>
      <w:pPr>
        <w:pStyle w:val="ListBullet"/>
      </w:pPr>
      <w:r>
        <w:t>Calibrated Argon2id high-security profile plus strong passphrase; optional required possession factor.</w:t>
      </w:r>
    </w:p>
    <w:p>
      <w:pPr>
        <w:pStyle w:val="ListBullet"/>
      </w:pPr>
      <w:r>
        <w:t>No network in the vault broker; signed update helper isolated from keys and plaintext.</w:t>
      </w:r>
    </w:p>
    <w:p>
      <w:pPr>
        <w:pStyle w:val="ListBullet"/>
      </w:pPr>
      <w:r>
        <w:t>No silent overwrite, rollback, save failure, weak file permissions, untrusted decoder, or unsigned release.</w:t>
      </w:r>
    </w:p>
    <w:p>
      <w:r>
        <w:br w:type="page"/>
      </w:r>
    </w:p>
    <w:p>
      <w:pPr>
        <w:pStyle w:val="Heading1"/>
      </w:pPr>
      <w:r>
        <w:t>Current Architecture and Cryptographic Review</w:t>
      </w:r>
    </w:p>
    <w:p>
      <w:r>
        <w:drawing>
          <wp:inline xmlns:a="http://schemas.openxmlformats.org/drawingml/2006/main" xmlns:pic="http://schemas.openxmlformats.org/drawingml/2006/picture">
            <wp:extent cx="5852160" cy="3584448"/>
            <wp:docPr id="2" name="Picture 2" descr="Diagram of current Nightlock architecture showing user and OS, Qt desktop, nightlock-core, persistence, and release boundary. Red boxes mark Qt secret retention and unsigned release; amber marks core and persistence gaps." title="Diagram of current Nightlock architecture showing user and OS, Qt desktop, night"/>
            <wp:cNvGraphicFramePr>
              <a:graphicFrameLocks noChangeAspect="1"/>
            </wp:cNvGraphicFramePr>
            <a:graphic>
              <a:graphicData uri="http://schemas.openxmlformats.org/drawingml/2006/picture">
                <pic:pic>
                  <pic:nvPicPr>
                    <pic:cNvPr id="0" name="current_architecture.png"/>
                    <pic:cNvPicPr/>
                  </pic:nvPicPr>
                  <pic:blipFill>
                    <a:blip r:embed="rId12"/>
                    <a:stretch>
                      <a:fillRect/>
                    </a:stretch>
                  </pic:blipFill>
                  <pic:spPr>
                    <a:xfrm>
                      <a:off x="0" y="0"/>
                      <a:ext cx="5852160" cy="3584448"/>
                    </a:xfrm>
                    <a:prstGeom prst="rect"/>
                  </pic:spPr>
                </pic:pic>
              </a:graphicData>
            </a:graphic>
          </wp:inline>
        </w:drawing>
      </w:r>
    </w:p>
    <w:p>
      <w:pPr>
        <w:pStyle w:val="Caption"/>
      </w:pPr>
      <w:r>
        <w:t>Figure 2. Current trust boundaries and the locations where cryptographic protection gives way to ordinary process, filesystem, or release state.</w:t>
      </w:r>
    </w:p>
    <w:p>
      <w:pPr>
        <w:pStyle w:val="Heading2"/>
      </w:pPr>
      <w:r>
        <w:t>Vault v1 Data Flow</w:t>
      </w:r>
    </w:p>
    <w:p>
      <w:pPr>
        <w:numPr>
          <w:ilvl w:val="0"/>
          <w:numId w:val="11"/>
        </w:numPr>
        <w:spacing w:after="160" w:line="280" w:lineRule="auto"/>
      </w:pPr>
      <w:r>
        <w:t>Desktop QLineEdit or CLI terminal receives the master password; Qt conversion creates ordinary QString/QByteArray intermediates before secure::String.</w:t>
      </w:r>
    </w:p>
    <w:p>
      <w:pPr>
        <w:numPr>
          <w:ilvl w:val="0"/>
          <w:numId w:val="11"/>
        </w:numPr>
        <w:spacing w:after="160" w:line="280" w:lineRule="auto"/>
      </w:pPr>
      <w:r>
        <w:t>Argon2id 1.3 derives a 32-byte key from the password and a 16-byte random salt. Defaults are 64 MiB, three iterations, one lane.</w:t>
      </w:r>
    </w:p>
    <w:p>
      <w:pPr>
        <w:numPr>
          <w:ilvl w:val="0"/>
          <w:numId w:val="11"/>
        </w:numPr>
        <w:spacing w:after="160" w:line="280" w:lineRule="auto"/>
      </w:pPr>
      <w:r>
        <w:t>The complete vault is serialized as a recursive TLV tree and encrypted with XChaCha20-Poly1305. The fixed 76-byte header—including algorithms, KDF parameters, salt, nonce, and ciphertext length—is associated data.</w:t>
      </w:r>
    </w:p>
    <w:p>
      <w:pPr>
        <w:numPr>
          <w:ilvl w:val="0"/>
          <w:numId w:val="11"/>
        </w:numPr>
        <w:spacing w:after="160" w:line="280" w:lineRule="auto"/>
      </w:pPr>
      <w:r>
        <w:t>Open reads the entire file, derives the key using header parameters, authenticates/decrypts, then constructs a fully decrypted object tree.</w:t>
      </w:r>
    </w:p>
    <w:p>
      <w:pPr>
        <w:numPr>
          <w:ilvl w:val="0"/>
          <w:numId w:val="11"/>
        </w:numPr>
        <w:spacing w:after="160" w:line="280" w:lineRule="auto"/>
      </w:pPr>
      <w:r>
        <w:t>Desktop views and indices copy values into Qt containers; save serializes the whole tree, selects a fresh 24-byte nonce, seals with the retained key, rotates current to .bak, and renames a predictable .tmp.</w:t>
      </w:r>
    </w:p>
    <w:p>
      <w:pPr>
        <w:pStyle w:val="Heading2"/>
      </w:pPr>
      <w:r>
        <w:t>Cryptographic Strengths to Preserve</w:t>
      </w:r>
    </w:p>
    <w:p>
      <w:pPr>
        <w:pStyle w:val="ListBullet"/>
      </w:pPr>
      <w:r>
        <w:t>libsodium primitives and CSPRNG; no bespoke cipher or ad-hoc password hash.</w:t>
      </w:r>
    </w:p>
    <w:p>
      <w:pPr>
        <w:pStyle w:val="ListBullet"/>
      </w:pPr>
      <w:r>
        <w:t>XChaCha20-Poly1305 authenticated encryption with a fresh random nonce per save and the full header as associated data.</w:t>
      </w:r>
    </w:p>
    <w:p>
      <w:pPr>
        <w:pStyle w:val="ListBullet"/>
      </w:pPr>
      <w:r>
        <w:t>Argon2id, 128-bit salt, 256-bit AEAD key, and a KDF test vector.</w:t>
      </w:r>
    </w:p>
    <w:p>
      <w:pPr>
        <w:pStyle w:val="ListBullet"/>
      </w:pPr>
      <w:r>
        <w:t>Qt-free reusable core, explicit crypto facade, constant-time secret comparison, and protected buffers for key/payload in important paths.</w:t>
      </w:r>
    </w:p>
    <w:p>
      <w:pPr>
        <w:pStyle w:val="ListBullet"/>
      </w:pPr>
      <w:r>
        <w:t>No application network stack or telemetry found, reducing the default remote attack surface.</w:t>
      </w:r>
    </w:p>
    <w:p>
      <w:pPr>
        <w:pStyle w:val="ListBullet"/>
      </w:pPr>
      <w:r>
        <w:t>Functional tamper/truncation, generator, serialization, backup, and password-change tests; ordinary and limited sanitizer test runs passed during this review.</w:t>
      </w:r>
    </w:p>
    <w:p>
      <w:pPr>
        <w:pStyle w:val="Heading2"/>
      </w:pPr>
      <w:r>
        <w:t>Why Sound Primitives Are Not Sufficient</w:t>
      </w:r>
    </w:p>
    <w:p>
      <w:r>
        <w:rPr>
          <w:i w:val="0"/>
        </w:rPr>
        <w:t>The XChaCha construction is not the primary blocker. Exposure occurs before encryption (password input), after decryption (Qt copies and clipboard), around persistence (links, backup epochs, concurrency, rollback), and before execution (unsigned delivery). Replacing XChaCha with AES-256 or increasing an Argon2 number would not remediate these paths.</w:t>
      </w:r>
    </w:p>
    <w:p>
      <w:r>
        <w:rPr>
          <w:i w:val="0"/>
        </w:rPr>
        <w:t>A v2 design should preserve the simple AEAD property while adding random wrapped keys, factor/key slots, domain separation, authenticated revisions, strict resource limits, stable UUIDs, safe backup/rekey semantics, and migration/conformance tests. Adopting KDBX 4.1 through reviewed code is a credible shorter route; retaining NLCK requires equivalent specification and independent review.</w:t>
      </w:r>
    </w:p>
    <w:p>
      <w:r>
        <w:br w:type="page"/>
      </w:r>
    </w:p>
    <w:p>
      <w:pPr>
        <w:pStyle w:val="Heading1"/>
      </w:pPr>
      <w:r>
        <w:t>Consolidated Finding Register</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60"/>
        <w:gridCol w:w="1560"/>
        <w:gridCol w:w="1560"/>
        <w:gridCol w:w="1560"/>
        <w:gridCol w:w="1560"/>
        <w:gridCol w:w="1560"/>
      </w:tblGrid>
      <w:tr>
        <w:trPr>
          <w:cantSplit/>
          <w:tblHeader w:val="true"/>
        </w:trPr>
        <w:tc>
          <w:tcPr>
            <w:tcW w:type="dxa" w:w="1560"/>
            <w:vAlign w:val="center"/>
            <w:tcMar>
              <w:top w:w="80" w:type="dxa"/>
              <w:start w:w="120" w:type="dxa"/>
              <w:bottom w:w="80" w:type="dxa"/>
              <w:end w:w="120" w:type="dxa"/>
            </w:tcMar>
            <w:shd w:fill="F2F4F7"/>
          </w:tcPr>
          <w:p>
            <w:pPr>
              <w:spacing w:after="40" w:line="240" w:lineRule="auto"/>
            </w:pPr>
            <w:r>
              <w:rPr>
                <w:rFonts w:ascii="Calibri" w:hAnsi="Calibri"/>
                <w:b/>
                <w:color w:val="17365D"/>
                <w:sz w:val="17"/>
              </w:rPr>
              <w:t>ID</w:t>
            </w:r>
          </w:p>
        </w:tc>
        <w:tc>
          <w:tcPr>
            <w:tcW w:type="dxa" w:w="1560"/>
            <w:vAlign w:val="center"/>
            <w:tcMar>
              <w:top w:w="80" w:type="dxa"/>
              <w:start w:w="120" w:type="dxa"/>
              <w:bottom w:w="80" w:type="dxa"/>
              <w:end w:w="120" w:type="dxa"/>
            </w:tcMar>
            <w:shd w:fill="F2F4F7"/>
          </w:tcPr>
          <w:p>
            <w:pPr>
              <w:spacing w:after="40" w:line="240" w:lineRule="auto"/>
            </w:pPr>
            <w:r>
              <w:rPr>
                <w:rFonts w:ascii="Calibri" w:hAnsi="Calibri"/>
                <w:b/>
                <w:color w:val="17365D"/>
                <w:sz w:val="17"/>
              </w:rPr>
              <w:t>Severity</w:t>
            </w:r>
          </w:p>
        </w:tc>
        <w:tc>
          <w:tcPr>
            <w:tcW w:type="dxa" w:w="1560"/>
            <w:vAlign w:val="center"/>
            <w:tcMar>
              <w:top w:w="80" w:type="dxa"/>
              <w:start w:w="120" w:type="dxa"/>
              <w:bottom w:w="80" w:type="dxa"/>
              <w:end w:w="120" w:type="dxa"/>
            </w:tcMar>
            <w:shd w:fill="F2F4F7"/>
          </w:tcPr>
          <w:p>
            <w:pPr>
              <w:spacing w:after="40" w:line="240" w:lineRule="auto"/>
            </w:pPr>
            <w:r>
              <w:rPr>
                <w:rFonts w:ascii="Calibri" w:hAnsi="Calibri"/>
                <w:b/>
                <w:color w:val="17365D"/>
                <w:sz w:val="17"/>
              </w:rPr>
              <w:t>Title</w:t>
            </w:r>
          </w:p>
        </w:tc>
        <w:tc>
          <w:tcPr>
            <w:tcW w:type="dxa" w:w="1560"/>
            <w:vAlign w:val="center"/>
            <w:tcMar>
              <w:top w:w="80" w:type="dxa"/>
              <w:start w:w="120" w:type="dxa"/>
              <w:bottom w:w="80" w:type="dxa"/>
              <w:end w:w="120" w:type="dxa"/>
            </w:tcMar>
            <w:shd w:fill="F2F4F7"/>
          </w:tcPr>
          <w:p>
            <w:pPr>
              <w:spacing w:after="40" w:line="240" w:lineRule="auto"/>
            </w:pPr>
            <w:r>
              <w:rPr>
                <w:rFonts w:ascii="Calibri" w:hAnsi="Calibri"/>
                <w:b/>
                <w:color w:val="17365D"/>
                <w:sz w:val="17"/>
              </w:rPr>
              <w:t>Category</w:t>
            </w:r>
          </w:p>
        </w:tc>
        <w:tc>
          <w:tcPr>
            <w:tcW w:type="dxa" w:w="1560"/>
            <w:vAlign w:val="center"/>
            <w:tcMar>
              <w:top w:w="80" w:type="dxa"/>
              <w:start w:w="120" w:type="dxa"/>
              <w:bottom w:w="80" w:type="dxa"/>
              <w:end w:w="120" w:type="dxa"/>
            </w:tcMar>
            <w:shd w:fill="F2F4F7"/>
          </w:tcPr>
          <w:p>
            <w:pPr>
              <w:spacing w:after="40" w:line="240" w:lineRule="auto"/>
            </w:pPr>
            <w:r>
              <w:rPr>
                <w:rFonts w:ascii="Calibri" w:hAnsi="Calibri"/>
                <w:b/>
                <w:color w:val="17365D"/>
                <w:sz w:val="17"/>
              </w:rPr>
              <w:t>Confidence</w:t>
            </w:r>
          </w:p>
        </w:tc>
        <w:tc>
          <w:tcPr>
            <w:tcW w:type="dxa" w:w="1560"/>
            <w:vAlign w:val="center"/>
            <w:tcMar>
              <w:top w:w="80" w:type="dxa"/>
              <w:start w:w="120" w:type="dxa"/>
              <w:bottom w:w="80" w:type="dxa"/>
              <w:end w:w="120" w:type="dxa"/>
            </w:tcMar>
            <w:shd w:fill="F2F4F7"/>
          </w:tcPr>
          <w:p>
            <w:pPr>
              <w:spacing w:after="40" w:line="240" w:lineRule="auto"/>
            </w:pPr>
            <w:r>
              <w:rPr>
                <w:rFonts w:ascii="Calibri" w:hAnsi="Calibri"/>
                <w:b/>
                <w:color w:val="17365D"/>
                <w:sz w:val="17"/>
              </w:rPr>
              <w:t>Gate</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NL-SEC-001</w:t>
            </w:r>
          </w:p>
        </w:tc>
        <w:tc>
          <w:tcPr>
            <w:tcW w:type="dxa" w:w="1560"/>
            <w:shd w:fill="FEE4E2"/>
            <w:vAlign w:val="center"/>
            <w:tcMar>
              <w:top w:w="80" w:type="dxa"/>
              <w:start w:w="120" w:type="dxa"/>
              <w:bottom w:w="80" w:type="dxa"/>
              <w:end w:w="120" w:type="dxa"/>
            </w:tcMar>
          </w:tcPr>
          <w:p>
            <w:pPr>
              <w:spacing w:after="40" w:line="240" w:lineRule="auto"/>
            </w:pPr>
            <w:r>
              <w:rPr>
                <w:rFonts w:ascii="Calibri" w:hAnsi="Calibri"/>
                <w:b/>
                <w:color w:val="101828"/>
                <w:sz w:val="17"/>
              </w:rPr>
              <w:t>Critical</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Locking leaves the master password and selected entry secrets in live Qt objects</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Runtime secret handling</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Release blocker for any high-assurance claim.</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NL-SEC-002</w:t>
            </w:r>
          </w:p>
        </w:tc>
        <w:tc>
          <w:tcPr>
            <w:tcW w:type="dxa" w:w="1560"/>
            <w:shd w:fill="FEE4E2"/>
            <w:vAlign w:val="center"/>
            <w:tcMar>
              <w:top w:w="80" w:type="dxa"/>
              <w:start w:w="120" w:type="dxa"/>
              <w:bottom w:w="80" w:type="dxa"/>
              <w:end w:w="120" w:type="dxa"/>
            </w:tcMar>
          </w:tcPr>
          <w:p>
            <w:pPr>
              <w:spacing w:after="40" w:line="240" w:lineRule="auto"/>
            </w:pPr>
            <w:r>
              <w:rPr>
                <w:rFonts w:ascii="Calibri" w:hAnsi="Calibri"/>
                <w:b/>
                <w:color w:val="101828"/>
                <w:sz w:val="17"/>
              </w:rPr>
              <w:t>Critical</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Published binaries are not authenticated by the publisher</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Release and supply chain</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Stop-ship for production distribution.</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NL-SEC-003</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A one-character master password is accepted despite an offline attack model</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Authentication and offline resistance</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Block new production vault creation until corrected.</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NL-SEC-004</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Changing the master password leaves a complete .bak decryptable with the old password</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Key lifecycle and backups</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Release blocker for password-change functionality.</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NL-SEC-005</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Copied secrets remain on the global clipboard indefinitely and survive lock</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Clipboard and data transfer</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P0 mandatory control.</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NL-SEC-006</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There is no automatic, OS-session, suspend, or background lock policy</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Session security</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P0 mandatory control.</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NL-SEC-007</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Secret editors reveal existing passwords and custom secret fields by default</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Secret presentation</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P0 privacy control.</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NL-SEC-008</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KDF cost is fixed and there is no cryptographic key hierarchy</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Cryptographic architecture</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Architecture gate before claiming parity with KDBX-class designs.</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NL-SEC-009</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Secure-memory handling is incomplete and vulnerable to SSO and ordinary-container copies</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Runtime secret handling</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P0/P1 runtime-hardening gate.</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NL-SEC-010</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Predictable atomic-save temporary files follow symlinks and preserve unsafe modes</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Filesystem integrity</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P0 integrity fix.</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NL-SEC-011</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Lock and quit can silently discard edits after a save failure</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Availability and integrity</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P0 integrity fix.</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NL-SEC-012</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Concurrent writers and external changes are last-writer-wins</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Concurrency and integrity</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P0/P1 integrity gate.</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NL-SEC-013</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Hostile vault files can force excessive memory, CPU, stack, and allocation use</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Input validation and availability</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P0 availability gate for opening untrusted files.</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NL-SEC-014</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Touch ID stores the reusable master password and falls back to app-enforced legacy Keychain access</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Platform authentication</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Disable Touch ID in public builds until fixed.</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NL-SEC-015</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Production binaries include password, mutation, reveal, and screenshot test hooks</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Production attack surface</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P0 release gate.</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NL-SEC-016</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Pinned Qt 6.10.1 includes known Qt SVG vulnerabilities reachable through icon loading</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Dependency security</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Immediate dependency patch and release gate.</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NL-SEC-017</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Settings falsely indicate that automatic security updates are enabled</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Patch management and trust</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Remove UI now; signed updater is a P1/P2 gate.</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NL-SEC-018</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CI uses mutable inputs and produces no SBOM or signed provenance</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Software supply chain</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P0/P1 release assurance gate.</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NL-SEC-019</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Compiler, linker, runtime, sandbox, and crash-dump hardening are not defined or verified</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Platform hardening</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 for control absence; platform result unverified</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P1 release-hardening gate.</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NL-SEC-020</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Security testing does not cover the highest-risk desktop, parser, and release behaviors</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Verification and assurance</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P1 assurance gate; independent audit required before KeePass-class claim.</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NL-SEC-021</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Nightlock does not prevent screen capture or recording</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Visual confidentiality</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P0/P1 radical-default control.</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NL-SEC-022</w:t>
            </w:r>
          </w:p>
        </w:tc>
        <w:tc>
          <w:tcPr>
            <w:tcW w:type="dxa" w:w="1560"/>
            <w:shd w:fill="FFFAEB"/>
            <w:vAlign w:val="center"/>
            <w:tcMar>
              <w:top w:w="80" w:type="dxa"/>
              <w:start w:w="120" w:type="dxa"/>
              <w:bottom w:w="80" w:type="dxa"/>
              <w:end w:w="120" w:type="dxa"/>
            </w:tcMar>
          </w:tcPr>
          <w:p>
            <w:pPr>
              <w:spacing w:after="40" w:line="240" w:lineRule="auto"/>
            </w:pPr>
            <w:r>
              <w:rPr>
                <w:rFonts w:ascii="Calibri" w:hAnsi="Calibri"/>
                <w:b/>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Vault unlock supports only a password; there is no composite key or hardware factor</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Authentication architecture</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Strategic parity gate with KeePassXC.</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NL-SEC-023</w:t>
            </w:r>
          </w:p>
        </w:tc>
        <w:tc>
          <w:tcPr>
            <w:tcW w:type="dxa" w:w="1560"/>
            <w:shd w:fill="FEF0C7"/>
            <w:vAlign w:val="center"/>
            <w:tcMar>
              <w:top w:w="80" w:type="dxa"/>
              <w:start w:w="120" w:type="dxa"/>
              <w:bottom w:w="80" w:type="dxa"/>
              <w:end w:w="120" w:type="dxa"/>
            </w:tcMar>
          </w:tcPr>
          <w:p>
            <w:pPr>
              <w:spacing w:after="40" w:line="240" w:lineRule="auto"/>
            </w:pPr>
            <w:r>
              <w:rPr>
                <w:rFonts w:ascii="Calibri" w:hAnsi="Calibri"/>
                <w:b/>
                <w:color w:val="101828"/>
                <w:sz w:val="17"/>
              </w:rPr>
              <w:t>Medium</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CLI options and stdout paths expose secrets to process lists, shell history, and terminal logs</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CLI secret handling</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P1 CLI hardening.</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NL-SEC-024</w:t>
            </w:r>
          </w:p>
        </w:tc>
        <w:tc>
          <w:tcPr>
            <w:tcW w:type="dxa" w:w="1560"/>
            <w:shd w:fill="FEF0C7"/>
            <w:vAlign w:val="center"/>
            <w:tcMar>
              <w:top w:w="80" w:type="dxa"/>
              <w:start w:w="120" w:type="dxa"/>
              <w:bottom w:w="80" w:type="dxa"/>
              <w:end w:w="120" w:type="dxa"/>
            </w:tcMar>
          </w:tcPr>
          <w:p>
            <w:pPr>
              <w:spacing w:after="40" w:line="240" w:lineRule="auto"/>
            </w:pPr>
            <w:r>
              <w:rPr>
                <w:rFonts w:ascii="Calibri" w:hAnsi="Calibri"/>
                <w:b/>
                <w:color w:val="101828"/>
                <w:sz w:val="17"/>
              </w:rPr>
              <w:t>Medium</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Vault-controlled URLs cross into rich text and OS protocol handlers without policy</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Untrusted content boundary</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P1 input-boundary fix.</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NL-SEC-025</w:t>
            </w:r>
          </w:p>
        </w:tc>
        <w:tc>
          <w:tcPr>
            <w:tcW w:type="dxa" w:w="1560"/>
            <w:shd w:fill="FEF0C7"/>
            <w:vAlign w:val="center"/>
            <w:tcMar>
              <w:top w:w="80" w:type="dxa"/>
              <w:start w:w="120" w:type="dxa"/>
              <w:bottom w:w="80" w:type="dxa"/>
              <w:end w:w="120" w:type="dxa"/>
            </w:tcMar>
          </w:tcPr>
          <w:p>
            <w:pPr>
              <w:spacing w:after="40" w:line="240" w:lineRule="auto"/>
            </w:pPr>
            <w:r>
              <w:rPr>
                <w:rFonts w:ascii="Calibri" w:hAnsi="Calibri"/>
                <w:b/>
                <w:color w:val="101828"/>
                <w:sz w:val="17"/>
              </w:rPr>
              <w:t>Medium</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A valid old vault snapshot can be replayed without detection</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Rollback protection</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P2 continuity control.</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NL-SEC-026</w:t>
            </w:r>
          </w:p>
        </w:tc>
        <w:tc>
          <w:tcPr>
            <w:tcW w:type="dxa" w:w="1560"/>
            <w:shd w:fill="FEF0C7"/>
            <w:vAlign w:val="center"/>
            <w:tcMar>
              <w:top w:w="80" w:type="dxa"/>
              <w:start w:w="120" w:type="dxa"/>
              <w:bottom w:w="80" w:type="dxa"/>
              <w:end w:w="120" w:type="dxa"/>
            </w:tcMar>
          </w:tcPr>
          <w:p>
            <w:pPr>
              <w:spacing w:after="40" w:line="240" w:lineRule="auto"/>
            </w:pPr>
            <w:r>
              <w:rPr>
                <w:rFonts w:ascii="Calibri" w:hAnsi="Calibri"/>
                <w:b/>
                <w:color w:val="101828"/>
                <w:sz w:val="17"/>
              </w:rPr>
              <w:t>Medium</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The TOTP-looking interface stores and displays a static code rather than a verified TOTP secret</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Authentication feature correctness</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Remove misleading UI or implement in P1.</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NL-SEC-027</w:t>
            </w:r>
          </w:p>
        </w:tc>
        <w:tc>
          <w:tcPr>
            <w:tcW w:type="dxa" w:w="1560"/>
            <w:shd w:fill="FEF0C7"/>
            <w:vAlign w:val="center"/>
            <w:tcMar>
              <w:top w:w="80" w:type="dxa"/>
              <w:start w:w="120" w:type="dxa"/>
              <w:bottom w:w="80" w:type="dxa"/>
              <w:end w:w="120" w:type="dxa"/>
            </w:tcMar>
          </w:tcPr>
          <w:p>
            <w:pPr>
              <w:spacing w:after="40" w:line="240" w:lineRule="auto"/>
            </w:pPr>
            <w:r>
              <w:rPr>
                <w:rFonts w:ascii="Calibri" w:hAnsi="Calibri"/>
                <w:b/>
                <w:color w:val="101828"/>
                <w:sz w:val="17"/>
              </w:rPr>
              <w:t>Medium</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Bundled asset and image-decoder surface lacks provenance, allowlisting, and isolation</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Assets and decoders</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 for inventory gap; exploitability dependency-specific</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Compliance blocker; P1 attack-surface reduction.</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NL-SEC-028</w:t>
            </w:r>
          </w:p>
        </w:tc>
        <w:tc>
          <w:tcPr>
            <w:tcW w:type="dxa" w:w="1560"/>
            <w:shd w:fill="FEF0C7"/>
            <w:vAlign w:val="center"/>
            <w:tcMar>
              <w:top w:w="80" w:type="dxa"/>
              <w:start w:w="120" w:type="dxa"/>
              <w:bottom w:w="80" w:type="dxa"/>
              <w:end w:w="120" w:type="dxa"/>
            </w:tcMar>
          </w:tcPr>
          <w:p>
            <w:pPr>
              <w:spacing w:after="40" w:line="240" w:lineRule="auto"/>
            </w:pPr>
            <w:r>
              <w:rPr>
                <w:rFonts w:ascii="Calibri" w:hAnsi="Calibri"/>
                <w:b/>
                <w:color w:val="101828"/>
                <w:sz w:val="17"/>
              </w:rPr>
              <w:t>Medium</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Security governance has a single-person bottleneck and no stable supported release line</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Governance and incident response</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High</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P1/P2 organizational gate.</w:t>
            </w:r>
          </w:p>
        </w:tc>
      </w:tr>
      <w:tr>
        <w:trPr>
          <w:cantSplit/>
        </w:trPr>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NL-SEC-029</w:t>
            </w:r>
          </w:p>
        </w:tc>
        <w:tc>
          <w:tcPr>
            <w:tcW w:type="dxa" w:w="1560"/>
            <w:shd w:fill="EAECF0"/>
            <w:vAlign w:val="center"/>
            <w:tcMar>
              <w:top w:w="80" w:type="dxa"/>
              <w:start w:w="120" w:type="dxa"/>
              <w:bottom w:w="80" w:type="dxa"/>
              <w:end w:w="120" w:type="dxa"/>
            </w:tcMar>
          </w:tcPr>
          <w:p>
            <w:pPr>
              <w:spacing w:after="40" w:line="240" w:lineRule="auto"/>
            </w:pPr>
            <w:r>
              <w:rPr>
                <w:rFonts w:ascii="Calibri" w:hAnsi="Calibri"/>
                <w:b/>
                <w:color w:val="101828"/>
                <w:sz w:val="17"/>
              </w:rPr>
              <w:t>Low</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Internal drag-and-drop serializes raw process pointers</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UI integrity</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Medium</w:t>
            </w:r>
          </w:p>
        </w:tc>
        <w:tc>
          <w:tcPr>
            <w:tcW w:type="dxa" w:w="1560"/>
            <w:vAlign w:val="center"/>
            <w:tcMar>
              <w:top w:w="80" w:type="dxa"/>
              <w:start w:w="120" w:type="dxa"/>
              <w:bottom w:w="80" w:type="dxa"/>
              <w:end w:w="120" w:type="dxa"/>
            </w:tcMar>
          </w:tcPr>
          <w:p>
            <w:pPr>
              <w:spacing w:after="40" w:line="240" w:lineRule="auto"/>
            </w:pPr>
            <w:r>
              <w:rPr>
                <w:rFonts w:ascii="Calibri" w:hAnsi="Calibri"/>
                <w:color w:val="101828"/>
                <w:sz w:val="17"/>
              </w:rPr>
              <w:t>P2 defense-in-depth.</w:t>
            </w:r>
          </w:p>
        </w:tc>
      </w:tr>
    </w:tbl>
    <w:p>
      <w:r>
        <w:rPr>
          <w:i/>
          <w:color w:val="667085"/>
        </w:rPr>
        <w:t>Register titles are consolidated to avoid double-counting. Each detailed finding below separates confirmed evidence from inferred attack prerequisites and ends with objective closure criteria.</w:t>
      </w:r>
    </w:p>
    <w:p>
      <w:r>
        <w:br w:type="page"/>
      </w:r>
    </w:p>
    <w:p>
      <w:pPr>
        <w:pStyle w:val="Heading1"/>
      </w:pPr>
      <w:r>
        <w:t>Detailed Findings</w:t>
      </w:r>
    </w:p>
    <w:p>
      <w:pPr>
        <w:pStyle w:val="Heading2"/>
        <w:keepNext/>
      </w:pPr>
      <w:r>
        <w:t>NL-SEC-001 — Locking leaves the master password and selected entry secrets in live Qt objects</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EE4E2"/>
          </w:tcPr>
          <w:p>
            <w:pPr>
              <w:spacing w:after="40" w:line="240" w:lineRule="auto"/>
            </w:pPr>
            <w:r>
              <w:rPr>
                <w:rFonts w:ascii="Calibri" w:hAnsi="Calibri"/>
                <w:b/>
                <w:color w:val="B42318"/>
                <w:sz w:val="17"/>
              </w:rPr>
              <w:t>Critical</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direct source trace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Runtime secret handling</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CWE-316 / CWE-244</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Release blocker for any high-assurance claim.</w:t>
            </w:r>
          </w:p>
        </w:tc>
      </w:tr>
    </w:tbl>
    <w:p>
      <w:pPr>
        <w:pStyle w:val="Heading3"/>
      </w:pPr>
      <w:r>
        <w:t>Observed evidence</w:t>
      </w:r>
    </w:p>
    <w:p>
      <w:pPr>
        <w:pStyle w:val="CodeEvidence"/>
      </w:pPr>
      <w:r>
        <w:t>LockScreen::submit() reads field_-&gt;text() and emits it without clearing or destroying the QLineEdit (apps/desktop/src/windows/lockscreen.cpp:253–267). A successful unlock hides the lock screen but does not reset it (apps/desktop/src/windows/mainwindow.cpp:1324–1331).</w:t>
      </w:r>
    </w:p>
    <w:p>
      <w:pPr>
        <w:pStyle w:val="CodeEvidence"/>
      </w:pPr>
      <w:r>
        <w:t>EntryDetailView copies password, code, secret custom fields, and seed words into QString-backed widgets (apps/desktop/src/widgets/entrydetailview.cpp:524–613). setEntry(nullptr) only hides and returns (lines 494–501).</w:t>
      </w:r>
    </w:p>
    <w:p>
      <w:pPr>
        <w:pStyle w:val="CodeEvidence"/>
      </w:pPr>
      <w:r>
        <w:t>The lock flow clears model pointers and then wipes the core tree, but the surviving view widgets are not purged (apps/desktop/src/windows/mainwindow.cpp:1110–1129).</w:t>
      </w:r>
    </w:p>
    <w:p>
      <w:pPr>
        <w:pStyle w:val="CodeEvidence"/>
      </w:pPr>
      <w:r>
        <w:t>Additional ordinary copies are created by the edit dialog and graph analysis; GraphWindow converts every entry password to QString for reuse comparison (apps/desktop/src/windows/graphwindow.cpp:141–208).</w:t>
      </w:r>
    </w:p>
    <w:p>
      <w:pPr>
        <w:pStyle w:val="Heading3"/>
      </w:pPr>
      <w:r>
        <w:t>Risk and attack path</w:t>
      </w:r>
    </w:p>
    <w:p>
      <w:r>
        <w:rPr>
          <w:i w:val="0"/>
        </w:rPr>
        <w:t>A post-lock process dump, injected module, crash collector, accessibility/debug interface, or same-user diagnostic tool can recover the master credential and recently viewed secrets. Retaining the master password is vault-wide impact: the encrypted file can be reopened after the UI claims the vault is locked.</w:t>
      </w:r>
    </w:p>
    <w:p>
      <w:pPr>
        <w:pStyle w:val="Heading3"/>
      </w:pPr>
      <w:r>
        <w:t>Root cause</w:t>
      </w:r>
    </w:p>
    <w:p>
      <w:r>
        <w:rPr>
          <w:i w:val="0"/>
        </w:rPr>
        <w:t>The core and UI have different secret-lifetime models. The core explicitly wipes selected buffers, while Qt widgets are treated as presentation-only even though they own plaintext copies. QString/QByteArray do not provide deterministic zeroization.</w:t>
      </w:r>
    </w:p>
    <w:p>
      <w:pPr>
        <w:pStyle w:val="Heading3"/>
      </w:pPr>
      <w:r>
        <w:t>KeePassXC / industry comparison</w:t>
      </w:r>
    </w:p>
    <w:p>
      <w:r>
        <w:rPr>
          <w:i w:val="0"/>
        </w:rPr>
        <w:t>KeePassXC is not immune to privileged endpoint compromise, but its audited lock path closes the database and its security design explicitly tests post-lock memory. Nightlock currently cannot make an equivalent claim. [R03, R06, R09]</w:t>
      </w:r>
    </w:p>
    <w:p>
      <w:pPr>
        <w:pStyle w:val="Heading3"/>
      </w:pPr>
      <w:r>
        <w:t>Required remediation</w:t>
      </w:r>
    </w:p>
    <w:p>
      <w:pPr>
        <w:pStyle w:val="ListBullet"/>
      </w:pPr>
      <w:r>
        <w:t>Immediately clear and destroy/recreate the password input widget after authentication, whether unlock succeeds or fails.</w:t>
      </w:r>
    </w:p>
    <w:p>
      <w:pPr>
        <w:pStyle w:val="ListBullet"/>
      </w:pPr>
      <w:r>
        <w:t>Define a mandatory purgeSecrets() interface for every secret-bearing view, editor, menu, search result, generator, dialog, and clipboard adapter; invoke it before core wipe.</w:t>
      </w:r>
    </w:p>
    <w:p>
      <w:pPr>
        <w:pStyle w:val="ListBullet"/>
      </w:pPr>
      <w:r>
        <w:t>Replace persistent secret QString members with short-lived, non-copyable protected buffers; paint concealed values without retaining a second display copy.</w:t>
      </w:r>
    </w:p>
    <w:p>
      <w:pPr>
        <w:pStyle w:val="ListBullet"/>
      </w:pPr>
      <w:r>
        <w:t>Strategically move passphrase entry, KDF, keys, and plaintext records into a small vault broker process; make the GUI request one scoped secret at a time.</w:t>
      </w:r>
    </w:p>
    <w:p>
      <w:pPr>
        <w:pStyle w:val="Heading3"/>
      </w:pPr>
      <w:r>
        <w:t>Acceptance criteria</w:t>
      </w:r>
    </w:p>
    <w:p>
      <w:pPr>
        <w:pStyle w:val="ListBullet"/>
      </w:pPr>
      <w:r>
        <w:t>Automated lock test populates every secret field, locks, and finds no full or partial sentinel value in live process memory under supported diagnostic tooling.</w:t>
      </w:r>
    </w:p>
    <w:p>
      <w:pPr>
        <w:pStyle w:val="ListBullet"/>
      </w:pPr>
      <w:r>
        <w:t>The test covers typed and pasted master passwords, entry editor, detail view, search, graph, menus, seed phrases, TOTP, generator, and Touch ID flows.</w:t>
      </w:r>
    </w:p>
    <w:p>
      <w:pPr>
        <w:pStyle w:val="ListBullet"/>
      </w:pPr>
      <w:r>
        <w:t>Lock remains possible during save failure, but any emergency recovery data is encrypted and the UI plainly reports its state.</w:t>
      </w:r>
    </w:p>
    <w:p>
      <w:pPr>
        <w:pBdr>
          <w:bottom w:val="single" w:sz="4" w:space="6" w:color="D0D5DD"/>
        </w:pBdr>
      </w:pPr>
    </w:p>
    <w:p>
      <w:r>
        <w:br w:type="page"/>
      </w:r>
    </w:p>
    <w:p>
      <w:pPr>
        <w:pStyle w:val="Heading2"/>
        <w:keepNext/>
      </w:pPr>
      <w:r>
        <w:t>NL-SEC-002 — Published binaries are not authenticated by the publisher</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EE4E2"/>
          </w:tcPr>
          <w:p>
            <w:pPr>
              <w:spacing w:after="40" w:line="240" w:lineRule="auto"/>
            </w:pPr>
            <w:r>
              <w:rPr>
                <w:rFonts w:ascii="Calibri" w:hAnsi="Calibri"/>
                <w:b/>
                <w:color w:val="B42318"/>
                <w:sz w:val="17"/>
              </w:rPr>
              <w:t>Critical</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repository and packaging evidence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Release and supply chain</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CWE-494</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Stop-ship for production distribution.</w:t>
            </w:r>
          </w:p>
        </w:tc>
      </w:tr>
    </w:tbl>
    <w:p>
      <w:pPr>
        <w:pStyle w:val="Heading3"/>
      </w:pPr>
      <w:r>
        <w:t>Observed evidence</w:t>
      </w:r>
    </w:p>
    <w:p>
      <w:pPr>
        <w:pStyle w:val="CodeEvidence"/>
      </w:pPr>
      <w:r>
        <w:t>SECURITY.md:37–42 and README.md acknowledge that current packages are unsigned and that same-workflow checksums are not independent proof of identity.</w:t>
      </w:r>
    </w:p>
    <w:p>
      <w:pPr>
        <w:pStyle w:val="CodeEvidence"/>
      </w:pPr>
      <w:r>
        <w:t>macOS packaging uses ad-hoc codesign --deep --sign - with no Developer ID, hardened runtime, notarization, or stapling (packaging/macos/make_dmg.sh:23–26).</w:t>
      </w:r>
    </w:p>
    <w:p>
      <w:pPr>
        <w:pStyle w:val="CodeEvidence"/>
      </w:pPr>
      <w:r>
        <w:t>Windows packaging has no Authenticode stage; Linux has no detached publisher signature. SHA256SUMS is created by the same publish job that uploads the artifacts (.github/workflows/release.yml:123–141).</w:t>
      </w:r>
    </w:p>
    <w:p>
      <w:pPr>
        <w:pStyle w:val="Heading3"/>
      </w:pPr>
      <w:r>
        <w:t>Risk and attack path</w:t>
      </w:r>
    </w:p>
    <w:p>
      <w:r>
        <w:rPr>
          <w:i w:val="0"/>
        </w:rPr>
        <w:t>A compromised release workflow, repository account, download location, or mirror can distribute a password-stealing replacement together with matching checksums. Because a password manager necessarily receives the master password, successful substitution yields total compromise before vault cryptography matters.</w:t>
      </w:r>
    </w:p>
    <w:p>
      <w:pPr>
        <w:pStyle w:val="Heading3"/>
      </w:pPr>
      <w:r>
        <w:t>Root cause</w:t>
      </w:r>
    </w:p>
    <w:p>
      <w:r>
        <w:rPr>
          <w:i w:val="0"/>
        </w:rPr>
        <w:t>Release authenticity is treated as documentation debt rather than part of the security boundary. The build, signing, publication, and update roots of trust are not separated.</w:t>
      </w:r>
    </w:p>
    <w:p>
      <w:pPr>
        <w:pStyle w:val="Heading3"/>
      </w:pPr>
      <w:r>
        <w:t>KeePassXC / industry comparison</w:t>
      </w:r>
    </w:p>
    <w:p>
      <w:r>
        <w:rPr>
          <w:i w:val="0"/>
        </w:rPr>
        <w:t>KeePassXC publishes Authenticode-signed Windows packages, Apple Developer ID-signed macOS packages, and detached OpenPGP signatures plus digests for artifacts. [R16]</w:t>
      </w:r>
    </w:p>
    <w:p>
      <w:pPr>
        <w:pStyle w:val="Heading3"/>
      </w:pPr>
      <w:r>
        <w:t>Required remediation</w:t>
      </w:r>
    </w:p>
    <w:p>
      <w:pPr>
        <w:pStyle w:val="ListBullet"/>
      </w:pPr>
      <w:r>
        <w:t>Sign and timestamp Windows executables/installers with Authenticode; sign macOS code with Developer ID, hardened runtime, minimal entitlements, notarize, and staple; sign Linux artifacts and repository metadata.</w:t>
      </w:r>
    </w:p>
    <w:p>
      <w:pPr>
        <w:pStyle w:val="ListBullet"/>
      </w:pPr>
      <w:r>
        <w:t>Use an offline or protected release-signing identity separate from the build job. Verify signatures and final package contents before publication.</w:t>
      </w:r>
    </w:p>
    <w:p>
      <w:pPr>
        <w:pStyle w:val="ListBullet"/>
      </w:pPr>
      <w:r>
        <w:t>Publish detached signatures, immutable digests, SBOM, and provenance; document key fingerprints, rotation, revocation, and emergency response.</w:t>
      </w:r>
    </w:p>
    <w:p>
      <w:pPr>
        <w:pStyle w:val="ListBullet"/>
      </w:pPr>
      <w:r>
        <w:t>Do not enable an in-app updater until it verifies rollback-resistant signed metadata rooted in a key not available to ordinary build steps.</w:t>
      </w:r>
    </w:p>
    <w:p>
      <w:pPr>
        <w:pStyle w:val="Heading3"/>
      </w:pPr>
      <w:r>
        <w:t>Acceptance criteria</w:t>
      </w:r>
    </w:p>
    <w:p>
      <w:pPr>
        <w:pStyle w:val="ListBullet"/>
      </w:pPr>
      <w:r>
        <w:t>Clean VMs reject altered artifacts and show a verified Nightlock publisher for authentic artifacts on every supported platform.</w:t>
      </w:r>
    </w:p>
    <w:p>
      <w:pPr>
        <w:pStyle w:val="ListBullet"/>
      </w:pPr>
      <w:r>
        <w:t>A compromised build step cannot access the release-signing key or forge the provenance identity.</w:t>
      </w:r>
    </w:p>
    <w:p>
      <w:pPr>
        <w:pStyle w:val="ListBullet"/>
      </w:pPr>
      <w:r>
        <w:t>CI installs and launches the final signed package, verifies signatures/notarization, and compares its contents with the SBOM before release approval.</w:t>
      </w:r>
    </w:p>
    <w:p>
      <w:pPr>
        <w:pBdr>
          <w:bottom w:val="single" w:sz="4" w:space="6" w:color="D0D5DD"/>
        </w:pBdr>
      </w:pPr>
    </w:p>
    <w:p>
      <w:pPr>
        <w:pStyle w:val="Heading2"/>
        <w:keepNext/>
      </w:pPr>
      <w:r>
        <w:t>NL-SEC-003 — A one-character master password is accepted despite an offline attack model</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direct source trace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Authentication and offline resistance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CWE-521</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Block new production vault creation until corrected.</w:t>
            </w:r>
          </w:p>
        </w:tc>
      </w:tr>
    </w:tbl>
    <w:p>
      <w:pPr>
        <w:pStyle w:val="Heading3"/>
      </w:pPr>
      <w:r>
        <w:t>Observed evidence</w:t>
      </w:r>
    </w:p>
    <w:p>
      <w:pPr>
        <w:pStyle w:val="CodeEvidence"/>
      </w:pPr>
      <w:r>
        <w:t>Create mode validates only non-empty input and equality with confirmation (apps/desktop/src/windows/lockscreen.cpp:253–266).</w:t>
      </w:r>
    </w:p>
    <w:p>
      <w:pPr>
        <w:pStyle w:val="CodeEvidence"/>
      </w:pPr>
      <w:r>
        <w:t>Settings explicitly labels the new password as ‘At least 1 character’ and rejects only empty input (apps/desktop/src/windows/settingswindow.cpp:603–650).</w:t>
      </w:r>
    </w:p>
    <w:p>
      <w:pPr>
        <w:pStyle w:val="CodeEvidence"/>
      </w:pPr>
      <w:r>
        <w:t>CLI init/passwd and the core VaultFile API likewise lack a strength invariant (apps/cli/src/commands.cpp:79–89, 296–305; core/src/vault/vault_file.cpp:91–109, 224–241).</w:t>
      </w:r>
    </w:p>
    <w:p>
      <w:pPr>
        <w:pStyle w:val="Heading3"/>
      </w:pPr>
      <w:r>
        <w:t>Risk and attack path</w:t>
      </w:r>
    </w:p>
    <w:p>
      <w:r>
        <w:rPr>
          <w:i w:val="0"/>
        </w:rPr>
        <w:t>Vault theft permits unlimited offline guesses. Argon2id slows each attempt but cannot make a one-character or common password safe. The default product permits a configuration in which recovery is immediate on commodity hardware.</w:t>
      </w:r>
    </w:p>
    <w:p>
      <w:pPr>
        <w:pStyle w:val="Heading3"/>
      </w:pPr>
      <w:r>
        <w:t>Root cause</w:t>
      </w:r>
    </w:p>
    <w:p>
      <w:r>
        <w:rPr>
          <w:i w:val="0"/>
        </w:rPr>
        <w:t>The user interface treats master-password choice as a convenience decision and the core does not enforce a minimum security contract.</w:t>
      </w:r>
    </w:p>
    <w:p>
      <w:pPr>
        <w:pStyle w:val="Heading3"/>
      </w:pPr>
      <w:r>
        <w:t>KeePassXC / industry comparison</w:t>
      </w:r>
    </w:p>
    <w:p>
      <w:r>
        <w:rPr>
          <w:i w:val="0"/>
        </w:rPr>
        <w:t>KeePassXC recommends a long randomized database password and offers a generator plus composite factors. NIST favors length, blocklists, paste support, and avoiding arbitrary composition rules; the offline vault context justifies a stronger default than an online verifier. [R03, R13]</w:t>
      </w:r>
    </w:p>
    <w:p>
      <w:pPr>
        <w:pStyle w:val="Heading3"/>
      </w:pPr>
      <w:r>
        <w:t>Required remediation</w:t>
      </w:r>
    </w:p>
    <w:p>
      <w:pPr>
        <w:pStyle w:val="ListBullet"/>
      </w:pPr>
      <w:r>
        <w:t>Enforce the invariant in the core, desktop, CLI, import, and migration paths.</w:t>
      </w:r>
    </w:p>
    <w:p>
      <w:pPr>
        <w:pStyle w:val="ListBullet"/>
      </w:pPr>
      <w:r>
        <w:t>Radical default: require either a generated passphrase of at least six Diceware-style words or a password meeting a tested strength threshold and minimum length; reject common/breached values using a local blocklist.</w:t>
      </w:r>
    </w:p>
    <w:p>
      <w:pPr>
        <w:pStyle w:val="ListBullet"/>
      </w:pPr>
      <w:r>
        <w:t>Allow a deliberate expert override only after showing estimated offline risk and requiring typed acknowledgement; never silently downgrade.</w:t>
      </w:r>
    </w:p>
    <w:p>
      <w:pPr>
        <w:pStyle w:val="ListBullet"/>
      </w:pPr>
      <w:r>
        <w:t>Add password + key file and password + hardware-token composite modes so vault theft alone is insufficient.</w:t>
      </w:r>
    </w:p>
    <w:p>
      <w:pPr>
        <w:pStyle w:val="Heading3"/>
      </w:pPr>
      <w:r>
        <w:t>Acceptance criteria</w:t>
      </w:r>
    </w:p>
    <w:p>
      <w:pPr>
        <w:pStyle w:val="ListBullet"/>
      </w:pPr>
      <w:r>
        <w:t>Boundary tests cover empty, one-character, common, pasted, Unicode, very long, and generated passphrases in every front end.</w:t>
      </w:r>
    </w:p>
    <w:p>
      <w:pPr>
        <w:pStyle w:val="ListBullet"/>
      </w:pPr>
      <w:r>
        <w:t>The same policy is applied when creating, changing, importing, or restoring a vault; no API caller can bypass it accidentally.</w:t>
      </w:r>
    </w:p>
    <w:p>
      <w:pPr>
        <w:pStyle w:val="ListBullet"/>
      </w:pPr>
      <w:r>
        <w:t>UX tests confirm that strong generated credentials can be saved/recovered without coercive composition rules.</w:t>
      </w:r>
    </w:p>
    <w:p>
      <w:pPr>
        <w:pBdr>
          <w:bottom w:val="single" w:sz="4" w:space="6" w:color="D0D5DD"/>
        </w:pBdr>
      </w:pPr>
    </w:p>
    <w:p>
      <w:pPr>
        <w:pStyle w:val="Heading2"/>
        <w:keepNext/>
      </w:pPr>
      <w:r>
        <w:t>NL-SEC-004 — Changing the master password leaves a complete .bak decryptable with the old password</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source trace and synthetic reproduction</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Key lifecycle and backups</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CWE-324</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Release blocker for password-change functionality.</w:t>
            </w:r>
          </w:p>
        </w:tc>
      </w:tr>
    </w:tbl>
    <w:p>
      <w:pPr>
        <w:pStyle w:val="Heading3"/>
      </w:pPr>
      <w:r>
        <w:t>Observed evidence</w:t>
      </w:r>
    </w:p>
    <w:p>
      <w:pPr>
        <w:pStyle w:val="CodeEvidence"/>
      </w:pPr>
      <w:r>
        <w:t>VaultFile::changePassword() installs a new salt/key and calls the normal save path (core/src/vault/vault_file.cpp:224–255).</w:t>
      </w:r>
    </w:p>
    <w:p>
      <w:pPr>
        <w:pStyle w:val="CodeEvidence"/>
      </w:pPr>
      <w:r>
        <w:t>Normal save renames the current old-key vault to &lt;vault&gt;.bak before replacing it (core/src/vault/atomic_write.cpp:87–99 and 123–129).</w:t>
      </w:r>
    </w:p>
    <w:p>
      <w:pPr>
        <w:pStyle w:val="CodeEvidence"/>
      </w:pPr>
      <w:r>
        <w:t>Synthetic test: after passwd, the current .nlck opened with the new password and the managed .bak still opened with the old password, listing vault/.</w:t>
      </w:r>
    </w:p>
    <w:p>
      <w:pPr>
        <w:pStyle w:val="Heading3"/>
      </w:pPr>
      <w:r>
        <w:t>Risk and attack path</w:t>
      </w:r>
    </w:p>
    <w:p>
      <w:r>
        <w:rPr>
          <w:i w:val="0"/>
        </w:rPr>
        <w:t>A former password holder, cloud-sync history reader, or attacker who later obtains the backup can decrypt the full pre-change vault. The UI statement ‘re-encrypts the vault’ does not communicate that a managed copy remains under the retired credential.</w:t>
      </w:r>
    </w:p>
    <w:p>
      <w:pPr>
        <w:pStyle w:val="Heading3"/>
      </w:pPr>
      <w:r>
        <w:t>Root cause</w:t>
      </w:r>
    </w:p>
    <w:p>
      <w:r>
        <w:rPr>
          <w:i w:val="0"/>
        </w:rPr>
        <w:t>Backup rotation is file-centric and unaware of key epochs. Rekey is not a transaction spanning all managed copies.</w:t>
      </w:r>
    </w:p>
    <w:p>
      <w:pPr>
        <w:pStyle w:val="Heading3"/>
      </w:pPr>
      <w:r>
        <w:t>KeePassXC / industry comparison</w:t>
      </w:r>
    </w:p>
    <w:p>
      <w:r>
        <w:rPr>
          <w:i w:val="0"/>
        </w:rPr>
        <w:t>KDBX uses a structured key hierarchy and mature save/history semantics, but external snapshots still cannot be revoked. Nightlock must at least guarantee that copies it manages follow an explicit rekey policy. [R08]</w:t>
      </w:r>
    </w:p>
    <w:p>
      <w:pPr>
        <w:pStyle w:val="Heading3"/>
      </w:pPr>
      <w:r>
        <w:t>Required remediation</w:t>
      </w:r>
    </w:p>
    <w:p>
      <w:pPr>
        <w:pStyle w:val="ListBullet"/>
      </w:pPr>
      <w:r>
        <w:t>Treat password change as a dedicated transaction: rewrite all Nightlock-managed retained backups under the new key or delete them with an explicit irreversible-warning path.</w:t>
      </w:r>
    </w:p>
    <w:p>
      <w:pPr>
        <w:pStyle w:val="ListBullet"/>
      </w:pPr>
      <w:r>
        <w:t>Introduce a vault UUID and key epoch; identify and migrate every device quick-unlock slot and managed backup bound to that identity.</w:t>
      </w:r>
    </w:p>
    <w:p>
      <w:pPr>
        <w:pStyle w:val="ListBullet"/>
      </w:pPr>
      <w:r>
        <w:t>Explain that SSD wear leveling, cloud versions, and independent backups cannot be cryptographically revoked unless a random vault key is rotated and all live data is re-encrypted.</w:t>
      </w:r>
    </w:p>
    <w:p>
      <w:pPr>
        <w:pStyle w:val="Heading3"/>
      </w:pPr>
      <w:r>
        <w:t>Acceptance criteria</w:t>
      </w:r>
    </w:p>
    <w:p>
      <w:pPr>
        <w:pStyle w:val="ListBullet"/>
      </w:pPr>
      <w:r>
        <w:t>After rekey, the old password opens neither current nor any Nightlock-managed backup; regression test enumerates all retained generations.</w:t>
      </w:r>
    </w:p>
    <w:p>
      <w:pPr>
        <w:pStyle w:val="ListBullet"/>
      </w:pPr>
      <w:r>
        <w:t>Interrupted rekey recovers to either the complete old epoch or complete new epoch, never a mixed set.</w:t>
      </w:r>
    </w:p>
    <w:p>
      <w:pPr>
        <w:pStyle w:val="ListBullet"/>
      </w:pPr>
      <w:r>
        <w:t>UI lists affected backups and records the completed key epoch without storing the password.</w:t>
      </w:r>
    </w:p>
    <w:p>
      <w:pPr>
        <w:pBdr>
          <w:bottom w:val="single" w:sz="4" w:space="6" w:color="D0D5DD"/>
        </w:pBdr>
      </w:pPr>
    </w:p>
    <w:p>
      <w:pPr>
        <w:pStyle w:val="Heading2"/>
        <w:keepNext/>
      </w:pPr>
      <w:r>
        <w:t>NL-SEC-005 — Copied secrets remain on the global clipboard indefinitely and survive lock</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direct source trace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Clipboard and data transfer</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CWE-200</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P0 mandatory control.</w:t>
            </w:r>
          </w:p>
        </w:tc>
      </w:tr>
    </w:tbl>
    <w:p>
      <w:pPr>
        <w:pStyle w:val="Heading3"/>
      </w:pPr>
      <w:r>
        <w:t>Observed evidence</w:t>
      </w:r>
    </w:p>
    <w:p>
      <w:pPr>
        <w:pStyle w:val="CodeEvidence"/>
      </w:pPr>
      <w:r>
        <w:t>SpoilerLabel, CopyLabel, and main-window actions call QClipboard::setText directly (apps/desktop/src/widgets/spoilerlabel.cpp:121–128; copylabel.cpp:75–81; mainwindow.cpp:426–463, 1456–1469).</w:t>
      </w:r>
    </w:p>
    <w:p>
      <w:pPr>
        <w:pStyle w:val="CodeEvidence"/>
      </w:pPr>
      <w:r>
        <w:t>Existing timers only animate ‘Copied’; no expiry, ownership comparison, or lock-time clearing exists.</w:t>
      </w:r>
    </w:p>
    <w:p>
      <w:pPr>
        <w:pStyle w:val="CodeEvidence"/>
      </w:pPr>
      <w:r>
        <w:t>Seed phrases, passwords, usernames, and codes share the same unrestricted clipboard path.</w:t>
      </w:r>
    </w:p>
    <w:p>
      <w:pPr>
        <w:pStyle w:val="Heading3"/>
      </w:pPr>
      <w:r>
        <w:t>Risk and attack path</w:t>
      </w:r>
    </w:p>
    <w:p>
      <w:r>
        <w:rPr>
          <w:i w:val="0"/>
        </w:rPr>
        <w:t>Clipboard managers, remote clipboard synchronization, another same-user process, or a later physical user can read a copied secret long after Nightlock is locked. Clearing later cannot undo capture that already occurred.</w:t>
      </w:r>
    </w:p>
    <w:p>
      <w:pPr>
        <w:pStyle w:val="Heading3"/>
      </w:pPr>
      <w:r>
        <w:t>Root cause</w:t>
      </w:r>
    </w:p>
    <w:p>
      <w:r>
        <w:rPr>
          <w:i w:val="0"/>
        </w:rPr>
        <w:t>Clipboard use is decentralized and treated as a UI action, not a security service with lifecycle and policy.</w:t>
      </w:r>
    </w:p>
    <w:p>
      <w:pPr>
        <w:pStyle w:val="Heading3"/>
      </w:pPr>
      <w:r>
        <w:t>KeePassXC / industry comparison</w:t>
      </w:r>
    </w:p>
    <w:p>
      <w:r>
        <w:rPr>
          <w:i w:val="0"/>
        </w:rPr>
        <w:t>KeePassXC exposes clipboard timeouts and provides Auto-Type/browser integration to reduce clipboard dependence; its ANSSI review explicitly considers clipboard snooping. [R03, R06]</w:t>
      </w:r>
    </w:p>
    <w:p>
      <w:pPr>
        <w:pStyle w:val="Heading3"/>
      </w:pPr>
      <w:r>
        <w:t>Required remediation</w:t>
      </w:r>
    </w:p>
    <w:p>
      <w:pPr>
        <w:pStyle w:val="ListBullet"/>
      </w:pPr>
      <w:r>
        <w:t>Centralize secret copying. Radical default: 10-second maximum, clear on lock/exit, and clear only if Nightlock still owns exactly the value it placed.</w:t>
      </w:r>
    </w:p>
    <w:p>
      <w:pPr>
        <w:pStyle w:val="ListBullet"/>
      </w:pPr>
      <w:r>
        <w:t>Where platforms permit, mark content as confidential/excluded from history and remote sync; disclose platform limitations.</w:t>
      </w:r>
    </w:p>
    <w:p>
      <w:pPr>
        <w:pStyle w:val="ListBullet"/>
      </w:pPr>
      <w:r>
        <w:t>Disable seed-phrase clipboard by default and require reauthentication plus an explicit one-time exception.</w:t>
      </w:r>
    </w:p>
    <w:p>
      <w:pPr>
        <w:pStyle w:val="ListBullet"/>
      </w:pPr>
      <w:r>
        <w:t>Add origin-bound autofill and reviewed Auto-Type paths so users can relax security only by explicit setting.</w:t>
      </w:r>
    </w:p>
    <w:p>
      <w:pPr>
        <w:pStyle w:val="Heading3"/>
      </w:pPr>
      <w:r>
        <w:t>Acceptance criteria</w:t>
      </w:r>
    </w:p>
    <w:p>
      <w:pPr>
        <w:pStyle w:val="ListBullet"/>
      </w:pPr>
      <w:r>
        <w:t>Automated tests cover expiry, user-replaced clipboard content, lock, exit, crash recovery, multiple copies, and platform clipboard-history behavior.</w:t>
      </w:r>
    </w:p>
    <w:p>
      <w:pPr>
        <w:pStyle w:val="ListBullet"/>
      </w:pPr>
      <w:r>
        <w:t>No secret-bearing widget calls QClipboard directly outside the audited broker.</w:t>
      </w:r>
    </w:p>
    <w:p>
      <w:pPr>
        <w:pStyle w:val="ListBullet"/>
      </w:pPr>
      <w:r>
        <w:t>UI shows the countdown and warns that clipboard managers can capture immediately.</w:t>
      </w:r>
    </w:p>
    <w:p>
      <w:pPr>
        <w:pBdr>
          <w:bottom w:val="single" w:sz="4" w:space="6" w:color="D0D5DD"/>
        </w:pBdr>
      </w:pPr>
    </w:p>
    <w:p>
      <w:pPr>
        <w:pStyle w:val="Heading2"/>
        <w:keepNext/>
      </w:pPr>
      <w:r>
        <w:t>NL-SEC-006 — There is no automatic, OS-session, suspend, or background lock policy</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negative source search and UI trace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Session security</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CWE-613</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P0 mandatory control.</w:t>
            </w:r>
          </w:p>
        </w:tc>
      </w:tr>
    </w:tbl>
    <w:p>
      <w:pPr>
        <w:pStyle w:val="Heading3"/>
      </w:pPr>
      <w:r>
        <w:t>Observed evidence</w:t>
      </w:r>
    </w:p>
    <w:p>
      <w:pPr>
        <w:pStyle w:val="CodeEvidence"/>
      </w:pPr>
      <w:r>
        <w:t>Only explicit lock actions reach MainWindow::lockVault() (apps/desktop/src/windows/mainwindow.cpp:1063–1072).</w:t>
      </w:r>
    </w:p>
    <w:p>
      <w:pPr>
        <w:pStyle w:val="CodeEvidence"/>
      </w:pPr>
      <w:r>
        <w:t>No application-state, system idle, screen lock, session switch, suspend/resume, or lid-close listener was found.</w:t>
      </w:r>
    </w:p>
    <w:p>
      <w:pPr>
        <w:pStyle w:val="CodeEvidence"/>
      </w:pPr>
      <w:r>
        <w:t>Minimize simply calls showMinimized() and reveal/copy actions require no reauthentication (mainwindow.cpp:579–582; spoilerlabel.cpp:247–257).</w:t>
      </w:r>
    </w:p>
    <w:p>
      <w:pPr>
        <w:pStyle w:val="Heading3"/>
      </w:pPr>
      <w:r>
        <w:t>Risk and attack path</w:t>
      </w:r>
    </w:p>
    <w:p>
      <w:r>
        <w:rPr>
          <w:i w:val="0"/>
        </w:rPr>
        <w:t>An unattended unlocked workstation exposes the whole vault, Save As, seed phrases, and copy actions for an unbounded period. Physical access after suspend or session switch is particularly material for a local password manager.</w:t>
      </w:r>
    </w:p>
    <w:p>
      <w:pPr>
        <w:pStyle w:val="Heading3"/>
      </w:pPr>
      <w:r>
        <w:t>Root cause</w:t>
      </w:r>
    </w:p>
    <w:p>
      <w:r>
        <w:rPr>
          <w:i w:val="0"/>
        </w:rPr>
        <w:t>There is no central security-policy state machine. Convenience behavior is fixed rather than an explicit relaxation from a strong baseline.</w:t>
      </w:r>
    </w:p>
    <w:p>
      <w:pPr>
        <w:pStyle w:val="Heading3"/>
      </w:pPr>
      <w:r>
        <w:t>KeePassXC / industry comparison</w:t>
      </w:r>
    </w:p>
    <w:p>
      <w:r>
        <w:rPr>
          <w:i w:val="0"/>
        </w:rPr>
        <w:t>KeePassXC supports inactivity and session-lock controls; its current 2.7 line enables inactivity locking by default and provides quick unlock on supported platforms. [R03, R17]</w:t>
      </w:r>
    </w:p>
    <w:p>
      <w:pPr>
        <w:pStyle w:val="Heading3"/>
      </w:pPr>
      <w:r>
        <w:t>Required remediation</w:t>
      </w:r>
    </w:p>
    <w:p>
      <w:pPr>
        <w:pStyle w:val="ListBullet"/>
      </w:pPr>
      <w:r>
        <w:t>Add a central SecurityPolicy service. Radical default: lock after sixty seconds of inactivity, immediately on OS lock/switch/suspend, within seconds of background/minimize, and before sleep snapshots where APIs allow.</w:t>
      </w:r>
    </w:p>
    <w:p>
      <w:pPr>
        <w:pStyle w:val="ListBullet"/>
      </w:pPr>
      <w:r>
        <w:t>Require password or OS-bound reauthentication for seed reveal, export, Touch ID enrollment, security changes, and bulk copying.</w:t>
      </w:r>
    </w:p>
    <w:p>
      <w:pPr>
        <w:pStyle w:val="ListBullet"/>
      </w:pPr>
      <w:r>
        <w:t>Offer labeled Strong and Convenience profiles; relaxation must be explicit, local, and visible in a security status page.</w:t>
      </w:r>
    </w:p>
    <w:p>
      <w:pPr>
        <w:pStyle w:val="Heading3"/>
      </w:pPr>
      <w:r>
        <w:t>Acceptance criteria</w:t>
      </w:r>
    </w:p>
    <w:p>
      <w:pPr>
        <w:pStyle w:val="ListBullet"/>
      </w:pPr>
      <w:r>
        <w:t>Cross-platform integration tests exercise idle, minimize, background, OS lock, switch user, suspend/resume, and time changes.</w:t>
      </w:r>
    </w:p>
    <w:p>
      <w:pPr>
        <w:pStyle w:val="ListBullet"/>
      </w:pPr>
      <w:r>
        <w:t>Pending edits are saved transactionally or held in an encrypted emergency journal; lock never silently discards data.</w:t>
      </w:r>
    </w:p>
    <w:p>
      <w:pPr>
        <w:pStyle w:val="ListBullet"/>
      </w:pPr>
      <w:r>
        <w:t>Policy downgrade is persisted, auditable, and reversible without changing the vault cryptographic format.</w:t>
      </w:r>
    </w:p>
    <w:p>
      <w:pPr>
        <w:pBdr>
          <w:bottom w:val="single" w:sz="4" w:space="6" w:color="D0D5DD"/>
        </w:pBdr>
      </w:pPr>
    </w:p>
    <w:p>
      <w:pPr>
        <w:pStyle w:val="Heading2"/>
        <w:keepNext/>
      </w:pPr>
      <w:r>
        <w:t>NL-SEC-007 — Secret editors reveal existing passwords and custom secret fields by default</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direct source trace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Secret presentation</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CWE-200</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P0 privacy control.</w:t>
            </w:r>
          </w:p>
        </w:tc>
      </w:tr>
    </w:tbl>
    <w:p>
      <w:pPr>
        <w:pStyle w:val="Heading3"/>
      </w:pPr>
      <w:r>
        <w:t>Observed evidence</w:t>
      </w:r>
    </w:p>
    <w:p>
      <w:pPr>
        <w:pStyle w:val="CodeEvidence"/>
      </w:pPr>
      <w:r>
        <w:t>The entry password editor is a normal QLineEdit without password echo mode and is prefilled with the existing password (apps/desktop/src/windows/entryeditdialog.cpp:427–440, 500–515).</w:t>
      </w:r>
    </w:p>
    <w:p>
      <w:pPr>
        <w:pStyle w:val="CodeEvidence"/>
      </w:pPr>
      <w:r>
        <w:t>Secret custom fields use ordinary visible editors; toggling the secret flag changes metadata, not the current display (entryeditdialog.cpp:728–758).</w:t>
      </w:r>
    </w:p>
    <w:p>
      <w:pPr>
        <w:pStyle w:val="CodeEvidence"/>
      </w:pPr>
      <w:r>
        <w:t>The stored code is displayed in a normal label (apps/desktop/src/widgets/entrydetailview.cpp:534–535).</w:t>
      </w:r>
    </w:p>
    <w:p>
      <w:pPr>
        <w:pStyle w:val="Heading3"/>
      </w:pPr>
      <w:r>
        <w:t>Risk and attack path</w:t>
      </w:r>
    </w:p>
    <w:p>
      <w:r>
        <w:rPr>
          <w:i w:val="0"/>
        </w:rPr>
        <w:t>Opening Edit causes immediate shoulder-surfing, screen-sharing, screenshot, and camera exposure. It also maximizes the number and lifetime of ordinary Qt copies.</w:t>
      </w:r>
    </w:p>
    <w:p>
      <w:pPr>
        <w:pStyle w:val="Heading3"/>
      </w:pPr>
      <w:r>
        <w:t>Root cause</w:t>
      </w:r>
    </w:p>
    <w:p>
      <w:r>
        <w:rPr>
          <w:i w:val="0"/>
        </w:rPr>
        <w:t>The UI distinguishes ‘secret’ mainly in the detail spoiler component, not as an end-to-end data classification.</w:t>
      </w:r>
    </w:p>
    <w:p>
      <w:pPr>
        <w:pStyle w:val="Heading3"/>
      </w:pPr>
      <w:r>
        <w:t>KeePassXC / industry comparison</w:t>
      </w:r>
    </w:p>
    <w:p>
      <w:r>
        <w:rPr>
          <w:i w:val="0"/>
        </w:rPr>
        <w:t>Mature managers conceal password and protected custom values by default and require a deliberate reveal action. KeePass/KDBX also supports protected inner values to reduce plain parser copies. [R08, R09]</w:t>
      </w:r>
    </w:p>
    <w:p>
      <w:pPr>
        <w:pStyle w:val="Heading3"/>
      </w:pPr>
      <w:r>
        <w:t>Required remediation</w:t>
      </w:r>
    </w:p>
    <w:p>
      <w:pPr>
        <w:pStyle w:val="ListBullet"/>
      </w:pPr>
      <w:r>
        <w:t>Mask every secret field by default, including password, TOTP seed/code, seed phrase, recovery code, and any custom field marked secret.</w:t>
      </w:r>
    </w:p>
    <w:p>
      <w:pPr>
        <w:pStyle w:val="ListBullet"/>
      </w:pPr>
      <w:r>
        <w:t>Use press-and-hold or short timed reveal, optionally reauthenticated for high-value fields; close/re-mask on focus loss and screenshot events.</w:t>
      </w:r>
    </w:p>
    <w:p>
      <w:pPr>
        <w:pStyle w:val="ListBullet"/>
      </w:pPr>
      <w:r>
        <w:t>Do not prepopulate a normal edit buffer until the user enters edit mode for that specific secret.</w:t>
      </w:r>
    </w:p>
    <w:p>
      <w:pPr>
        <w:pStyle w:val="Heading3"/>
      </w:pPr>
      <w:r>
        <w:t>Acceptance criteria</w:t>
      </w:r>
    </w:p>
    <w:p>
      <w:pPr>
        <w:pStyle w:val="ListBullet"/>
      </w:pPr>
      <w:r>
        <w:t>Opening Edit never renders a secret in clear text without a separate deliberate action.</w:t>
      </w:r>
    </w:p>
    <w:p>
      <w:pPr>
        <w:pStyle w:val="ListBullet"/>
      </w:pPr>
      <w:r>
        <w:t>Changing a field from public to secret immediately purges and recreates the editor in masked mode.</w:t>
      </w:r>
    </w:p>
    <w:p>
      <w:pPr>
        <w:pStyle w:val="ListBullet"/>
      </w:pPr>
      <w:r>
        <w:t>Screen-share and screenshot test corpus confirms platform protections and fallback warning behavior.</w:t>
      </w:r>
    </w:p>
    <w:p>
      <w:pPr>
        <w:pBdr>
          <w:bottom w:val="single" w:sz="4" w:space="6" w:color="D0D5DD"/>
        </w:pBdr>
      </w:pPr>
    </w:p>
    <w:p>
      <w:pPr>
        <w:pStyle w:val="Heading2"/>
        <w:keepNext/>
      </w:pPr>
      <w:r>
        <w:t>NL-SEC-008 — KDF cost is fixed and there is no cryptographic key hierarchy</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direct source trace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Cryptographic architecture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CWE-916 / CWE-320</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Architecture gate before claiming parity with KDBX-class designs.</w:t>
            </w:r>
          </w:p>
        </w:tc>
      </w:tr>
    </w:tbl>
    <w:p>
      <w:pPr>
        <w:pStyle w:val="Heading3"/>
      </w:pPr>
      <w:r>
        <w:t>Observed evidence</w:t>
      </w:r>
    </w:p>
    <w:p>
      <w:pPr>
        <w:pStyle w:val="CodeEvidence"/>
      </w:pPr>
      <w:r>
        <w:t>Default Argon2id parameters are 64 MiB, three iterations, one lane (core/include/nightlock/crypto.hpp:28–33). Front ends expose no calibration or profile.</w:t>
      </w:r>
    </w:p>
    <w:p>
      <w:pPr>
        <w:pStyle w:val="CodeEvidence"/>
      </w:pPr>
      <w:r>
        <w:t>crypto_pwhash output is used directly as the long-lived XChaCha20-Poly1305 vault key (core/src/crypto/sodium_backend.cpp:25–35).</w:t>
      </w:r>
    </w:p>
    <w:p>
      <w:pPr>
        <w:pStyle w:val="CodeEvidence"/>
      </w:pPr>
      <w:r>
        <w:t>The same password-derived key is retained for the unlocked session and reused across saves with fresh random nonces; there are no labeled subkeys or wrapped random vault key.</w:t>
      </w:r>
    </w:p>
    <w:p>
      <w:pPr>
        <w:pStyle w:val="Heading3"/>
      </w:pPr>
      <w:r>
        <w:t>Risk and attack path</w:t>
      </w:r>
    </w:p>
    <w:p>
      <w:r>
        <w:rPr>
          <w:i w:val="0"/>
        </w:rPr>
        <w:t>The parameters satisfy a published RFC 9106 memory/iteration option except for parallelism, but they are not calibrated to the device or Nightlock's stated threat posture. Directly coupling password, data encryption, password change, backups, and device unlock makes safe rotation and factor addition difficult.</w:t>
      </w:r>
    </w:p>
    <w:p>
      <w:pPr>
        <w:pStyle w:val="Heading3"/>
      </w:pPr>
      <w:r>
        <w:t>Root cause</w:t>
      </w:r>
    </w:p>
    <w:p>
      <w:r>
        <w:rPr>
          <w:i w:val="0"/>
        </w:rPr>
        <w:t>The v1 envelope optimizes format simplicity. It lacks separation between password-derived key-encryption material and random data-encryption material.</w:t>
      </w:r>
    </w:p>
    <w:p>
      <w:pPr>
        <w:pStyle w:val="Heading3"/>
      </w:pPr>
      <w:r>
        <w:t>KeePassXC / industry comparison</w:t>
      </w:r>
    </w:p>
    <w:p>
      <w:r>
        <w:rPr>
          <w:i w:val="0"/>
        </w:rPr>
        <w:t>KeePassXC exposes device-dependent decryption-time tuning and composite credentials; KDBX derives separate encryption, header, block, and inner-protection material. Bitwarden, 1Password, and Proton also wrap random vault/data keys rather than encrypt all records directly with a password derivative. [R03, R08, R21, R22, R23]</w:t>
      </w:r>
    </w:p>
    <w:p>
      <w:pPr>
        <w:pStyle w:val="Heading3"/>
      </w:pPr>
      <w:r>
        <w:t>Required remediation</w:t>
      </w:r>
    </w:p>
    <w:p>
      <w:pPr>
        <w:pStyle w:val="ListBullet"/>
      </w:pPr>
      <w:r>
        <w:t>Design v2 around a random vault root key and per-save data key, wrapped by one or more independently versioned unlock slots. Derive labeled subkeys with HKDF/context separation.</w:t>
      </w:r>
    </w:p>
    <w:p>
      <w:pPr>
        <w:pStyle w:val="ListBullet"/>
      </w:pPr>
      <w:r>
        <w:t>Calibrate Argon2id at vault creation and upgrade: radical target 1.5–2 seconds and at least 256 MiB on capable desktops, with a documented compatibility floor and cancellable worker.</w:t>
      </w:r>
    </w:p>
    <w:p>
      <w:pPr>
        <w:pStyle w:val="ListBullet"/>
      </w:pPr>
      <w:r>
        <w:t>Use an implementation that supports intended parallelism, or explicitly document and compensate for the single-lane backend.</w:t>
      </w:r>
    </w:p>
    <w:p>
      <w:pPr>
        <w:pStyle w:val="ListBullet"/>
      </w:pPr>
      <w:r>
        <w:t>Authenticate all parameters and impose safe pre-authentication resource ceilings independent of stored cost.</w:t>
      </w:r>
    </w:p>
    <w:p>
      <w:pPr>
        <w:pStyle w:val="Heading3"/>
      </w:pPr>
      <w:r>
        <w:t>Acceptance criteria</w:t>
      </w:r>
    </w:p>
    <w:p>
      <w:pPr>
        <w:pStyle w:val="ListBullet"/>
      </w:pPr>
      <w:r>
        <w:t>Published v2 specification includes domain-separated key schedule, vectors, migration, rollback, and backup/rekey semantics reviewed by external cryptographers.</w:t>
      </w:r>
    </w:p>
    <w:p>
      <w:pPr>
        <w:pStyle w:val="ListBullet"/>
      </w:pPr>
      <w:r>
        <w:t>Calibration is repeatable across platforms and cannot create an unopenable vault; users see measured time/memory before commit.</w:t>
      </w:r>
    </w:p>
    <w:p>
      <w:pPr>
        <w:pStyle w:val="ListBullet"/>
      </w:pPr>
      <w:r>
        <w:t>Changing a passphrase rewraps or rotates keys according to policy without leaving Nightlock-managed old-password copies.</w:t>
      </w:r>
    </w:p>
    <w:p>
      <w:pPr>
        <w:pBdr>
          <w:bottom w:val="single" w:sz="4" w:space="6" w:color="D0D5DD"/>
        </w:pBdr>
      </w:pPr>
    </w:p>
    <w:p>
      <w:pPr>
        <w:pStyle w:val="Heading2"/>
        <w:keepNext/>
      </w:pPr>
      <w:r>
        <w:t>NL-SEC-009 — Secure-memory handling is incomplete and vulnerable to SSO and ordinary-container copies</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direct source trace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Runtime secret handling</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CWE-244</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P0/P1 runtime-hardening gate.</w:t>
            </w:r>
          </w:p>
        </w:tc>
      </w:tr>
    </w:tbl>
    <w:p>
      <w:pPr>
        <w:pStyle w:val="Heading3"/>
      </w:pPr>
      <w:r>
        <w:t>Observed evidence</w:t>
      </w:r>
    </w:p>
    <w:p>
      <w:pPr>
        <w:pStyle w:val="CodeEvidence"/>
      </w:pPr>
      <w:r>
        <w:t>secure::String uses a custom allocator, but short-string optimization may store bytes inside the std::string object rather than allocator-controlled pages (core/include/nightlock/secure.hpp:24–67).</w:t>
      </w:r>
    </w:p>
    <w:p>
      <w:pPr>
        <w:pStyle w:val="CodeEvidence"/>
      </w:pPr>
      <w:r>
        <w:t>wipeTree() wipes password, code, and field values only; entry name/login/URL/note and group metadata remain ordinary std::string content (core/src/vault/vault_file.cpp:48–57; core/include/nightlock/entry.hpp:69–83).</w:t>
      </w:r>
    </w:p>
    <w:p>
      <w:pPr>
        <w:pStyle w:val="CodeEvidence"/>
      </w:pPr>
      <w:r>
        <w:t>Entry/group deletion erases objects without an explicit wipe, and editing creates full secret-bearing Entry copies (core/src/model/group.cpp:37–43; apps/desktop/src/windows/mainwindow.cpp:1581).</w:t>
      </w:r>
    </w:p>
    <w:p>
      <w:pPr>
        <w:pStyle w:val="CodeEvidence"/>
      </w:pPr>
      <w:r>
        <w:t>The allocator uses ordinary operator new, ignores page-lock failure, and secure::String remains copyable; short master-password temporaries can die without an explicit SSO wipe (core/include/nightlock/secure.hpp:24–67; apps/desktop/src/vaultservice.cpp:105–170).</w:t>
      </w:r>
    </w:p>
    <w:p>
      <w:pPr>
        <w:pStyle w:val="Heading3"/>
      </w:pPr>
      <w:r>
        <w:t>Risk and attack path</w:t>
      </w:r>
    </w:p>
    <w:p>
      <w:r>
        <w:rPr>
          <w:i w:val="0"/>
        </w:rPr>
        <w:t>Short passwords and transient copies can remain in freed stack/heap memory. Notes, logins, URLs, and group names are sensitive vault metadata and may themselves contain secrets; the documented ‘whole tree’ wipe is therefore incomplete.</w:t>
      </w:r>
    </w:p>
    <w:p>
      <w:pPr>
        <w:pStyle w:val="Heading3"/>
      </w:pPr>
      <w:r>
        <w:t>Root cause</w:t>
      </w:r>
    </w:p>
    <w:p>
      <w:r>
        <w:rPr>
          <w:i w:val="0"/>
        </w:rPr>
        <w:t>Memory classification is field-specific and relies on call-site discipline instead of a non-copyable secret value with RAII destruction.</w:t>
      </w:r>
    </w:p>
    <w:p>
      <w:pPr>
        <w:pStyle w:val="Heading3"/>
      </w:pPr>
      <w:r>
        <w:t>KeePassXC / industry comparison</w:t>
      </w:r>
    </w:p>
    <w:p>
      <w:r>
        <w:rPr>
          <w:i w:val="0"/>
        </w:rPr>
        <w:t>libsodium states that mlock is best-effort and not a complete memory-protection solution. KDBX protects selected fields through inner encryption to reduce ordinary parser copies, while KeePassXC's audits still document practical limits. [R08, R12, R05, R06]</w:t>
      </w:r>
    </w:p>
    <w:p>
      <w:pPr>
        <w:pStyle w:val="Heading3"/>
      </w:pPr>
      <w:r>
        <w:t>Required remediation</w:t>
      </w:r>
    </w:p>
    <w:p>
      <w:pPr>
        <w:pStyle w:val="ListBullet"/>
      </w:pPr>
      <w:r>
        <w:t>Make all vault content sensitive by default. Use move-only protected buffers with no SSO, deterministic destructor wipe, guarded/locked pages where practical, and explicit public-field opt-out.</w:t>
      </w:r>
    </w:p>
    <w:p>
      <w:pPr>
        <w:pStyle w:val="ListBullet"/>
      </w:pPr>
      <w:r>
        <w:t>Eliminate full Entry copies; use transactional field deltas and secure temporary buffers.</w:t>
      </w:r>
    </w:p>
    <w:p>
      <w:pPr>
        <w:pStyle w:val="ListBullet"/>
      </w:pPr>
      <w:r>
        <w:t>Apply no-dump/madvise protections, disable core dumps by default, encrypt or disable swap/hibernation guidance, and keep the unlocked footprint minimal.</w:t>
      </w:r>
    </w:p>
    <w:p>
      <w:pPr>
        <w:pStyle w:val="Heading3"/>
      </w:pPr>
      <w:r>
        <w:t>Acceptance criteria</w:t>
      </w:r>
    </w:p>
    <w:p>
      <w:pPr>
        <w:pStyle w:val="ListBullet"/>
      </w:pPr>
      <w:r>
        <w:t>Unit tests prove destructor, erase, overwrite, parse error, rollback, and move paths zeroize buffers, including short values.</w:t>
      </w:r>
    </w:p>
    <w:p>
      <w:pPr>
        <w:pStyle w:val="ListBullet"/>
      </w:pPr>
      <w:r>
        <w:t>Post-lock memory scanning cannot recover sentinel strings from the core or UI under the defined threat model.</w:t>
      </w:r>
    </w:p>
    <w:p>
      <w:pPr>
        <w:pStyle w:val="ListBullet"/>
      </w:pPr>
      <w:r>
        <w:t>Documentation accurately distinguishes best-effort memory hygiene from protection against a privileged live-process attacker.</w:t>
      </w:r>
    </w:p>
    <w:p>
      <w:pPr>
        <w:pBdr>
          <w:bottom w:val="single" w:sz="4" w:space="6" w:color="D0D5DD"/>
        </w:pBdr>
      </w:pPr>
    </w:p>
    <w:p>
      <w:pPr>
        <w:pStyle w:val="Heading2"/>
        <w:keepNext/>
      </w:pPr>
      <w:r>
        <w:t>NL-SEC-010 — Predictable atomic-save temporary files follow symlinks and preserve unsafe modes</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source trace and synthetic reproduction</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Filesystem integrity</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CWE-59 / CWE-377</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P0 integrity fix.</w:t>
            </w:r>
          </w:p>
        </w:tc>
      </w:tr>
    </w:tbl>
    <w:p>
      <w:pPr>
        <w:pStyle w:val="Heading3"/>
      </w:pPr>
      <w:r>
        <w:t>Observed evidence</w:t>
      </w:r>
    </w:p>
    <w:p>
      <w:pPr>
        <w:pStyle w:val="CodeEvidence"/>
      </w:pPr>
      <w:r>
        <w:t>POSIX save always uses &lt;vault&gt;.tmp and opens it O_WRONLY|O_CREAT|O_TRUNC, mode 0600, without O_EXCL, O_NOFOLLOW, ownership/type checks, or forced permissions (core/src/vault/atomic_write.cpp:107–121).</w:t>
      </w:r>
    </w:p>
    <w:p>
      <w:pPr>
        <w:pStyle w:val="CodeEvidence"/>
      </w:pPr>
      <w:r>
        <w:t>Windows uses the same predictable name with CREATE_ALWAYS and no reparse-point defense (lines 69–85).</w:t>
      </w:r>
    </w:p>
    <w:p>
      <w:pPr>
        <w:pStyle w:val="CodeEvidence"/>
      </w:pPr>
      <w:r>
        <w:t>Synthetic POSIX reproduction precreated vault.nlck.tmp as a symlink to a same-user victim. nightlock init overwrote the victim; it retained mode -rw-r--r--, and the managed backup later remained a symlink.</w:t>
      </w:r>
    </w:p>
    <w:p>
      <w:pPr>
        <w:pStyle w:val="CodeEvidence"/>
      </w:pPr>
      <w:r>
        <w:t>The writer moves the current primary to .bak before moving temp to primary, creating a crash window with no primary; backup-rename and directory-fsync errors are ignored (atomic_write.cpp:87–100, 123–145).</w:t>
      </w:r>
    </w:p>
    <w:p>
      <w:pPr>
        <w:pStyle w:val="Heading3"/>
      </w:pPr>
      <w:r>
        <w:t>Risk and attack path</w:t>
      </w:r>
    </w:p>
    <w:p>
      <w:r>
        <w:rPr>
          <w:i w:val="0"/>
        </w:rPr>
        <w:t>In a shared or attacker-influenced directory, the save can truncate another file writable by the victim account. A precreated permissive temp file can also become the live vault with overly broad permissions. Symlinked backups create further surprising aliasing, and power loss between the two renames can leave only a backup.</w:t>
      </w:r>
    </w:p>
    <w:p>
      <w:pPr>
        <w:pStyle w:val="Heading3"/>
      </w:pPr>
      <w:r>
        <w:t>Root cause</w:t>
      </w:r>
    </w:p>
    <w:p>
      <w:r>
        <w:rPr>
          <w:i w:val="0"/>
        </w:rPr>
        <w:t>Atomicity and durability were implemented without treating path resolution and file metadata as adversarial inputs.</w:t>
      </w:r>
    </w:p>
    <w:p>
      <w:pPr>
        <w:pStyle w:val="Heading3"/>
      </w:pPr>
      <w:r>
        <w:t>KeePassXC / industry comparison</w:t>
      </w:r>
    </w:p>
    <w:p>
      <w:r>
        <w:rPr>
          <w:i w:val="0"/>
        </w:rPr>
        <w:t>KeePassXC offers safe-save modes and has a much larger history of cross-platform file handling. Nightlock should not rely on path-based convenience operations for security-sensitive replacement. [R03]</w:t>
      </w:r>
    </w:p>
    <w:p>
      <w:pPr>
        <w:pStyle w:val="Heading3"/>
      </w:pPr>
      <w:r>
        <w:t>Required remediation</w:t>
      </w:r>
    </w:p>
    <w:p>
      <w:pPr>
        <w:pStyle w:val="ListBullet"/>
      </w:pPr>
      <w:r>
        <w:t>Create a randomized same-directory temp file with openat plus O_EXCL|O_NOFOLLOW|O_CLOEXEC; verify regular file, owner, link count, and parent directory; force restrictive mode/ACL.</w:t>
      </w:r>
    </w:p>
    <w:p>
      <w:pPr>
        <w:pStyle w:val="ListBullet"/>
      </w:pPr>
      <w:r>
        <w:t>On Windows use reparse-point-safe handles, validated final paths, restrictive DACLs, and ReplaceFileW/MoveFileEx semantics with handle-based checks.</w:t>
      </w:r>
    </w:p>
    <w:p>
      <w:pPr>
        <w:pStyle w:val="ListBullet"/>
      </w:pPr>
      <w:r>
        <w:t>Treat backup creation as part of the same validated transaction; never follow an existing backup link.</w:t>
      </w:r>
    </w:p>
    <w:p>
      <w:pPr>
        <w:pStyle w:val="Heading3"/>
      </w:pPr>
      <w:r>
        <w:t>Acceptance criteria</w:t>
      </w:r>
    </w:p>
    <w:p>
      <w:pPr>
        <w:pStyle w:val="ListBullet"/>
      </w:pPr>
      <w:r>
        <w:t>Regression tests cover symlink, hard link, reparse point, preexisting temp, permissive modes, shared directory, cross-filesystem, crash at every step, and malicious backup paths.</w:t>
      </w:r>
    </w:p>
    <w:p>
      <w:pPr>
        <w:pStyle w:val="ListBullet"/>
      </w:pPr>
      <w:r>
        <w:t>No test can modify a file outside the intended directory tree, and resulting vault/backup permissions are verified on disk.</w:t>
      </w:r>
    </w:p>
    <w:p>
      <w:pPr>
        <w:pStyle w:val="ListBullet"/>
      </w:pPr>
      <w:r>
        <w:t>Static analysis confirms no security-sensitive save path falls back to predictable unchecked names.</w:t>
      </w:r>
    </w:p>
    <w:p>
      <w:pPr>
        <w:pBdr>
          <w:bottom w:val="single" w:sz="4" w:space="6" w:color="D0D5DD"/>
        </w:pBdr>
      </w:pPr>
    </w:p>
    <w:p>
      <w:pPr>
        <w:pStyle w:val="Heading2"/>
        <w:keepNext/>
      </w:pPr>
      <w:r>
        <w:t>NL-SEC-011 — Lock and quit can silently discard edits after a save failure</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direct source trace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Availability and integrity</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CWE-703</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P0 integrity fix.</w:t>
            </w:r>
          </w:p>
        </w:tc>
      </w:tr>
    </w:tbl>
    <w:p>
      <w:pPr>
        <w:pStyle w:val="Heading3"/>
      </w:pPr>
      <w:r>
        <w:t>Observed evidence</w:t>
      </w:r>
    </w:p>
    <w:p>
      <w:pPr>
        <w:pStyle w:val="CodeEvidence"/>
      </w:pPr>
      <w:r>
        <w:t>VaultService::saveNow() reports failure and leaves dirty_ set (apps/desktop/src/vaultservice.cpp:186–199).</w:t>
      </w:r>
    </w:p>
    <w:p>
      <w:pPr>
        <w:pStyle w:val="CodeEvidence"/>
      </w:pPr>
      <w:r>
        <w:t>lockAndWipe() ignores that result and destroys the vault/session anyway (lines 201–209).</w:t>
      </w:r>
    </w:p>
    <w:p>
      <w:pPr>
        <w:pStyle w:val="CodeEvidence"/>
      </w:pPr>
      <w:r>
        <w:t>The aboutToQuit handler also calls saveNow() without resolving failure (apps/desktop/src/main.cpp:69–73).</w:t>
      </w:r>
    </w:p>
    <w:p>
      <w:pPr>
        <w:pStyle w:val="Heading3"/>
      </w:pPr>
      <w:r>
        <w:t>Risk and attack path</w:t>
      </w:r>
    </w:p>
    <w:p>
      <w:r>
        <w:rPr>
          <w:i w:val="0"/>
        </w:rPr>
        <w:t>Disk full, permission change, removable media loss, filesystem failure, or an induced I/O error can cause a newly generated password or changed credential to disappear when the user locks or exits. The user may already have changed the corresponding online account.</w:t>
      </w:r>
    </w:p>
    <w:p>
      <w:pPr>
        <w:pStyle w:val="Heading3"/>
      </w:pPr>
      <w:r>
        <w:t>Root cause</w:t>
      </w:r>
    </w:p>
    <w:p>
      <w:r>
        <w:rPr>
          <w:i w:val="0"/>
        </w:rPr>
        <w:t>Security locking and durability are coupled through a best-effort call with no explicit state machine for retry, encrypted recovery, or informed discard.</w:t>
      </w:r>
    </w:p>
    <w:p>
      <w:pPr>
        <w:pStyle w:val="Heading3"/>
      </w:pPr>
      <w:r>
        <w:t>KeePassXC / industry comparison</w:t>
      </w:r>
    </w:p>
    <w:p>
      <w:r>
        <w:rPr>
          <w:i w:val="0"/>
        </w:rPr>
        <w:t>Mature managers distinguish safe save, conflict, recovery, and explicit discard. A security lock must remain available, but silent data loss is not an acceptable trade. [R03]</w:t>
      </w:r>
    </w:p>
    <w:p>
      <w:pPr>
        <w:pStyle w:val="Heading3"/>
      </w:pPr>
      <w:r>
        <w:t>Required remediation</w:t>
      </w:r>
    </w:p>
    <w:p>
      <w:pPr>
        <w:pStyle w:val="ListBullet"/>
      </w:pPr>
      <w:r>
        <w:t>Implement an encrypted emergency journal/recovery object protected by the live vault key, or block shutdown with Retry / Save As / Explicitly Discard while still concealing the UI.</w:t>
      </w:r>
    </w:p>
    <w:p>
      <w:pPr>
        <w:pStyle w:val="ListBullet"/>
      </w:pPr>
      <w:r>
        <w:t>Never mark the session clean or destroy the only plaintext copy until durable commit or recorded user consent.</w:t>
      </w:r>
    </w:p>
    <w:p>
      <w:pPr>
        <w:pStyle w:val="ListBullet"/>
      </w:pPr>
      <w:r>
        <w:t>Surface a persistent recovery warning on next launch; do not place plaintext in temp or crash files.</w:t>
      </w:r>
    </w:p>
    <w:p>
      <w:pPr>
        <w:pStyle w:val="Heading3"/>
      </w:pPr>
      <w:r>
        <w:t>Acceptance criteria</w:t>
      </w:r>
    </w:p>
    <w:p>
      <w:pPr>
        <w:pStyle w:val="ListBullet"/>
      </w:pPr>
      <w:r>
        <w:t>Fault injection at open, serialize, write, fsync, backup, rename, and directory-fsync stages never loses an acknowledged edit silently.</w:t>
      </w:r>
    </w:p>
    <w:p>
      <w:pPr>
        <w:pStyle w:val="ListBullet"/>
      </w:pPr>
      <w:r>
        <w:t>Lock obscures the UI immediately even while encrypted recovery is pending.</w:t>
      </w:r>
    </w:p>
    <w:p>
      <w:pPr>
        <w:pStyle w:val="ListBullet"/>
      </w:pPr>
      <w:r>
        <w:t>Recovery and discard events are testable without logging secrets or absolute personal paths.</w:t>
      </w:r>
    </w:p>
    <w:p>
      <w:pPr>
        <w:pBdr>
          <w:bottom w:val="single" w:sz="4" w:space="6" w:color="D0D5DD"/>
        </w:pBdr>
      </w:pPr>
    </w:p>
    <w:p>
      <w:pPr>
        <w:pStyle w:val="Heading2"/>
        <w:keepNext/>
      </w:pPr>
      <w:r>
        <w:t>NL-SEC-012 — Concurrent writers and external changes are last-writer-wins</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documented design and source review</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Concurrency and integrity</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CWE-362</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P0/P1 integrity gate.</w:t>
            </w:r>
          </w:p>
        </w:tc>
      </w:tr>
    </w:tbl>
    <w:p>
      <w:pPr>
        <w:pStyle w:val="Heading3"/>
      </w:pPr>
      <w:r>
        <w:t>Observed evidence</w:t>
      </w:r>
    </w:p>
    <w:p>
      <w:pPr>
        <w:pStyle w:val="CodeEvidence"/>
      </w:pPr>
      <w:r>
        <w:t>docs/security.md and docs/format.md explicitly state that no file locking exists and the last writer wins.</w:t>
      </w:r>
    </w:p>
    <w:p>
      <w:pPr>
        <w:pStyle w:val="CodeEvidence"/>
      </w:pPr>
      <w:r>
        <w:t>Desktop and CLI each load a full snapshot and later replace the complete file; no authenticated revision or expected-file hash is checked before save.</w:t>
      </w:r>
    </w:p>
    <w:p>
      <w:pPr>
        <w:pStyle w:val="CodeEvidence"/>
      </w:pPr>
      <w:r>
        <w:t>The save path has no advisory lock or conflict merge protocol.</w:t>
      </w:r>
    </w:p>
    <w:p>
      <w:pPr>
        <w:pStyle w:val="Heading3"/>
      </w:pPr>
      <w:r>
        <w:t>Risk and attack path</w:t>
      </w:r>
    </w:p>
    <w:p>
      <w:r>
        <w:rPr>
          <w:i w:val="0"/>
        </w:rPr>
        <w:t>A simultaneously open desktop, CLI, sync client conflict copy, or second machine can silently erase later edits. For passwords, loss of the newly stored value may cause permanent account lockout.</w:t>
      </w:r>
    </w:p>
    <w:p>
      <w:pPr>
        <w:pStyle w:val="Heading3"/>
      </w:pPr>
      <w:r>
        <w:t>Root cause</w:t>
      </w:r>
    </w:p>
    <w:p>
      <w:r>
        <w:rPr>
          <w:i w:val="0"/>
        </w:rPr>
        <w:t>The vault is modeled as a single-user local file even though both a GUI and scriptable CLI are first-class writers and cloud placement is likely.</w:t>
      </w:r>
    </w:p>
    <w:p>
      <w:pPr>
        <w:pStyle w:val="Heading3"/>
      </w:pPr>
      <w:r>
        <w:t>KeePassXC / industry comparison</w:t>
      </w:r>
    </w:p>
    <w:p>
      <w:r>
        <w:rPr>
          <w:i w:val="0"/>
        </w:rPr>
        <w:t>KDBX entries have UUIDs, timestamps, tombstones/history, and KeePassXC documents merge behavior for conflict copies. Nightlock lacks equivalent semantics. [R03, R08]</w:t>
      </w:r>
    </w:p>
    <w:p>
      <w:pPr>
        <w:pStyle w:val="Heading3"/>
      </w:pPr>
      <w:r>
        <w:t>Required remediation</w:t>
      </w:r>
    </w:p>
    <w:p>
      <w:pPr>
        <w:pStyle w:val="ListBullet"/>
      </w:pPr>
      <w:r>
        <w:t>Add advisory locking plus optimistic concurrency: authenticate a monotonically increasing revision and compare the expected file identity/hash before commit.</w:t>
      </w:r>
    </w:p>
    <w:p>
      <w:pPr>
        <w:pStyle w:val="ListBullet"/>
      </w:pPr>
      <w:r>
        <w:t>On conflict, preserve both encrypted versions and require a safe merge; never overwrite silently.</w:t>
      </w:r>
    </w:p>
    <w:p>
      <w:pPr>
        <w:pStyle w:val="ListBullet"/>
      </w:pPr>
      <w:r>
        <w:t>For future synchronization, assign stable UUIDs to vault, groups, and entries and define deletion tombstones/history.</w:t>
      </w:r>
    </w:p>
    <w:p>
      <w:pPr>
        <w:pStyle w:val="Heading3"/>
      </w:pPr>
      <w:r>
        <w:t>Acceptance criteria</w:t>
      </w:r>
    </w:p>
    <w:p>
      <w:pPr>
        <w:pStyle w:val="ListBullet"/>
      </w:pPr>
      <w:r>
        <w:t>Two-process and simulated cloud-conflict tests prove that neither writer can silently destroy the other's edit.</w:t>
      </w:r>
    </w:p>
    <w:p>
      <w:pPr>
        <w:pStyle w:val="ListBullet"/>
      </w:pPr>
      <w:r>
        <w:t>Crash/stale-lock recovery is safe and does not permit an attacker to permanently deny access by planting a lock file.</w:t>
      </w:r>
    </w:p>
    <w:p>
      <w:pPr>
        <w:pStyle w:val="ListBullet"/>
      </w:pPr>
      <w:r>
        <w:t>Conflict UI does not reveal secret values before unlock/reauthentication.</w:t>
      </w:r>
    </w:p>
    <w:p>
      <w:pPr>
        <w:pBdr>
          <w:bottom w:val="single" w:sz="4" w:space="6" w:color="D0D5DD"/>
        </w:pBdr>
      </w:pPr>
    </w:p>
    <w:p>
      <w:pPr>
        <w:pStyle w:val="Heading2"/>
        <w:keepNext/>
      </w:pPr>
      <w:r>
        <w:t>NL-SEC-013 — Hostile vault files can force excessive memory, CPU, stack, and allocation use</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direct source trace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Input validation and availability</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CWE-400 / CWE-674</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P0 availability gate for opening untrusted files.</w:t>
            </w:r>
          </w:p>
        </w:tc>
      </w:tr>
    </w:tbl>
    <w:p>
      <w:pPr>
        <w:pStyle w:val="Heading3"/>
      </w:pPr>
      <w:r>
        <w:t>Observed evidence</w:t>
      </w:r>
    </w:p>
    <w:p>
      <w:pPr>
        <w:pStyle w:val="CodeEvidence"/>
      </w:pPr>
      <w:r>
        <w:t>VaultFile::open() reads the entire file into an unbounded std::vector before validating the fixed header (core/src/vault/vault_file.cpp:114–128).</w:t>
      </w:r>
    </w:p>
    <w:p>
      <w:pPr>
        <w:pStyle w:val="CodeEvidence"/>
      </w:pPr>
      <w:r>
        <w:t>Unauthenticated KDF parameters permit up to 4 GiB memory and 64 Argon2 iterations before authentication (lines 20–29, 139–159).</w:t>
      </w:r>
    </w:p>
    <w:p>
      <w:pPr>
        <w:pStyle w:val="CodeEvidence"/>
      </w:pPr>
      <w:r>
        <w:t>The authenticated TLV parser has no explicit maximum vault size, group depth, record count, or field length; groups are parsed recursively (core/src/format/serialize.cpp:201–229).</w:t>
      </w:r>
    </w:p>
    <w:p>
      <w:pPr>
        <w:pStyle w:val="CodeEvidence"/>
      </w:pPr>
      <w:r>
        <w:t>TLV writer length conversions truncate size_t to 32 bits without rejecting larger values while still appending the full data (core/src/format/tlv.cpp:40–48, 62–74).</w:t>
      </w:r>
    </w:p>
    <w:p>
      <w:pPr>
        <w:pStyle w:val="Heading3"/>
      </w:pPr>
      <w:r>
        <w:t>Risk and attack path</w:t>
      </w:r>
    </w:p>
    <w:p>
      <w:r>
        <w:rPr>
          <w:i w:val="0"/>
        </w:rPr>
        <w:t>A substituted remembered vault or user-selected hostile file can freeze the UI, exhaust RAM, trigger allocation failure, or overflow recursion before password correctness is known. A known-password crafted vault can reach deeper parser paths.</w:t>
      </w:r>
    </w:p>
    <w:p>
      <w:pPr>
        <w:pStyle w:val="Heading3"/>
      </w:pPr>
      <w:r>
        <w:t>Root cause</w:t>
      </w:r>
    </w:p>
    <w:p>
      <w:r>
        <w:rPr>
          <w:i w:val="0"/>
        </w:rPr>
        <w:t>Format bounds are based on integer representability rather than a product resource budget. Expensive open runs synchronously in the security-critical process.</w:t>
      </w:r>
    </w:p>
    <w:p>
      <w:pPr>
        <w:pStyle w:val="Heading3"/>
      </w:pPr>
      <w:r>
        <w:t>KeePassXC / industry comparison</w:t>
      </w:r>
    </w:p>
    <w:p>
      <w:r>
        <w:rPr>
          <w:i w:val="0"/>
        </w:rPr>
        <w:t>KDBX uses authenticated block streaming and explicit structures that avoid reading the whole database twice; KeePassXC has accumulated parser hardening and audit coverage. [R08, R05, R06]</w:t>
      </w:r>
    </w:p>
    <w:p>
      <w:pPr>
        <w:pStyle w:val="Heading3"/>
      </w:pPr>
      <w:r>
        <w:t>Required remediation</w:t>
      </w:r>
    </w:p>
    <w:p>
      <w:pPr>
        <w:pStyle w:val="ListBullet"/>
      </w:pPr>
      <w:r>
        <w:t>fstat/read only the fixed header first; reject non-regular or over-limit inputs before allocation.</w:t>
      </w:r>
    </w:p>
    <w:p>
      <w:pPr>
        <w:pStyle w:val="ListBullet"/>
      </w:pPr>
      <w:r>
        <w:t>Set documented caps for file/ciphertext/plaintext size, KDF memory/time, nesting, records, attachments, strings, and total allocations; make high-cost overrides interactive and cancellable.</w:t>
      </w:r>
    </w:p>
    <w:p>
      <w:pPr>
        <w:pStyle w:val="ListBullet"/>
      </w:pPr>
      <w:r>
        <w:t>Convert recursion to an iterative bounded parser; handle bad_alloc and arithmetic overflow; fuzz the envelope and every TLV state.</w:t>
      </w:r>
    </w:p>
    <w:p>
      <w:pPr>
        <w:pStyle w:val="Heading3"/>
      </w:pPr>
      <w:r>
        <w:t>Acceptance criteria</w:t>
      </w:r>
    </w:p>
    <w:p>
      <w:pPr>
        <w:pStyle w:val="ListBullet"/>
      </w:pPr>
      <w:r>
        <w:t>A corpus spanning boundary values, truncated fields, deep nesting, huge lengths, high KDF costs, and allocation failures completes within defined time/RSS limits.</w:t>
      </w:r>
    </w:p>
    <w:p>
      <w:pPr>
        <w:pStyle w:val="ListBullet"/>
      </w:pPr>
      <w:r>
        <w:t>No invalid file allocates based on an untrusted length before bounds and overflow checks.</w:t>
      </w:r>
    </w:p>
    <w:p>
      <w:pPr>
        <w:pStyle w:val="ListBullet"/>
      </w:pPr>
      <w:r>
        <w:t>Fuzzer runs are continuous and every discovered crash gets a permanent regression case.</w:t>
      </w:r>
    </w:p>
    <w:p>
      <w:pPr>
        <w:pBdr>
          <w:bottom w:val="single" w:sz="4" w:space="6" w:color="D0D5DD"/>
        </w:pBdr>
      </w:pPr>
    </w:p>
    <w:p>
      <w:pPr>
        <w:pStyle w:val="Heading2"/>
        <w:keepNext/>
      </w:pPr>
      <w:r>
        <w:t>NL-SEC-014 — Touch ID stores the reusable master password and falls back to app-enforced legacy Keychain access</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confirmed design; exploit path conditional</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Platform authentication</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CWE-522 / CWE-287</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Disable Touch ID in public builds until fixed.</w:t>
            </w:r>
          </w:p>
        </w:tc>
      </w:tr>
    </w:tbl>
    <w:p>
      <w:pPr>
        <w:pStyle w:val="Heading3"/>
      </w:pPr>
      <w:r>
        <w:t>Observed evidence</w:t>
      </w:r>
    </w:p>
    <w:p>
      <w:pPr>
        <w:pStyle w:val="CodeEvidence"/>
      </w:pPr>
      <w:r>
        <w:t>The feature description and API store the database master password, not a random device unlock key (apps/desktop/src/touchid.hpp:9–13; settingswindow.cpp:500–504).</w:t>
      </w:r>
    </w:p>
    <w:p>
      <w:pPr>
        <w:pStyle w:val="CodeEvidence"/>
      </w:pPr>
      <w:r>
        <w:t>The preferred item uses ThisDeviceOnly + BiometryCurrentSet, but missing entitlement/ad-hoc builds fall back to a legacy login-Keychain ACL (apps/desktop/src/platform/touchid_mac.mm:99–154, 233–240).</w:t>
      </w:r>
    </w:p>
    <w:p>
      <w:pPr>
        <w:pStyle w:val="CodeEvidence"/>
      </w:pPr>
      <w:r>
        <w:t>In the fallback, LocalAuthentication occurs in application control flow before the Keychain query; production packaging is ad-hoc signed and supplies no hardened-runtime entitlements.</w:t>
      </w:r>
    </w:p>
    <w:p>
      <w:pPr>
        <w:pStyle w:val="Heading3"/>
      </w:pPr>
      <w:r>
        <w:t>Risk and attack path</w:t>
      </w:r>
    </w:p>
    <w:p>
      <w:r>
        <w:rPr>
          <w:i w:val="0"/>
        </w:rPr>
        <w:t>Injected code in the Nightlock process can potentially query the legacy item as the trusted application without a Keychain-enforced biometric condition. Theft yields a reusable master password that also opens older copies and backups. Save As can leave path-bound credentials orphaned.</w:t>
      </w:r>
    </w:p>
    <w:p>
      <w:pPr>
        <w:pStyle w:val="Heading3"/>
      </w:pPr>
      <w:r>
        <w:t>Root cause</w:t>
      </w:r>
    </w:p>
    <w:p>
      <w:r>
        <w:rPr>
          <w:i w:val="0"/>
        </w:rPr>
        <w:t>Biometrics are implemented as password escrow layered on an unsigned application rather than a platform-enforced wrapping slot bound to stable vault identity.</w:t>
      </w:r>
    </w:p>
    <w:p>
      <w:pPr>
        <w:pStyle w:val="Heading3"/>
      </w:pPr>
      <w:r>
        <w:t>KeePassXC / industry comparison</w:t>
      </w:r>
    </w:p>
    <w:p>
      <w:r>
        <w:rPr>
          <w:i w:val="0"/>
        </w:rPr>
        <w:t>KeePassXC quick unlock uses platform facilities but is distributed with publisher identity and mature lifecycle controls. The stronger Nightlock backend is directionally correct; the fallback invalidates the claim for shipped builds. [R03, R16, R25]</w:t>
      </w:r>
    </w:p>
    <w:p>
      <w:pPr>
        <w:pStyle w:val="Heading3"/>
      </w:pPr>
      <w:r>
        <w:t>Required remediation</w:t>
      </w:r>
    </w:p>
    <w:p>
      <w:pPr>
        <w:pStyle w:val="ListBullet"/>
      </w:pPr>
      <w:r>
        <w:t>Remove the legacy fallback from production and fail closed if code signing, entitlement, biometric set, or access-control creation is unavailable.</w:t>
      </w:r>
    </w:p>
    <w:p>
      <w:pPr>
        <w:pStyle w:val="ListBullet"/>
      </w:pPr>
      <w:r>
        <w:t>Store a random device-specific key that wraps the vault root key, never the master password. Bind it to vault UUID and key epoch.</w:t>
      </w:r>
    </w:p>
    <w:p>
      <w:pPr>
        <w:pStyle w:val="ListBullet"/>
      </w:pPr>
      <w:r>
        <w:t>Delete/migrate all item variants on Save As, rekey, vault deletion, biometric-set change, and feature disable.</w:t>
      </w:r>
    </w:p>
    <w:p>
      <w:pPr>
        <w:pStyle w:val="ListBullet"/>
      </w:pPr>
      <w:r>
        <w:t>Ship only Developer ID-signed, hardened, notarized builds with minimal entitlements and library validation.</w:t>
      </w:r>
    </w:p>
    <w:p>
      <w:pPr>
        <w:pStyle w:val="Heading3"/>
      </w:pPr>
      <w:r>
        <w:t>Acceptance criteria</w:t>
      </w:r>
    </w:p>
    <w:p>
      <w:pPr>
        <w:pStyle w:val="ListBullet"/>
      </w:pPr>
      <w:r>
        <w:t>A Keychain item cannot be read without OS-enforced user presence even by an alternate or ad-hoc Nightlock binary.</w:t>
      </w:r>
    </w:p>
    <w:p>
      <w:pPr>
        <w:pStyle w:val="ListBullet"/>
      </w:pPr>
      <w:r>
        <w:t>Artifact tests verify designated requirement, entitlement, accessibility class, access-control flags, migration, and cleanup.</w:t>
      </w:r>
    </w:p>
    <w:p>
      <w:pPr>
        <w:pStyle w:val="ListBullet"/>
      </w:pPr>
      <w:r>
        <w:t>No Keychain or settings store contains the master password after migration.</w:t>
      </w:r>
    </w:p>
    <w:p>
      <w:pPr>
        <w:pBdr>
          <w:bottom w:val="single" w:sz="4" w:space="6" w:color="D0D5DD"/>
        </w:pBdr>
      </w:pPr>
    </w:p>
    <w:p>
      <w:pPr>
        <w:pStyle w:val="Heading2"/>
        <w:keepNext/>
      </w:pPr>
      <w:r>
        <w:t>NL-SEC-015 — Production binaries include password, mutation, reveal, and screenshot test hooks</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direct source and build trace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Production attack surface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CWE-489</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P0 release gate.</w:t>
            </w:r>
          </w:p>
        </w:tc>
      </w:tr>
    </w:tbl>
    <w:p>
      <w:pPr>
        <w:pStyle w:val="Heading3"/>
      </w:pPr>
      <w:r>
        <w:t>Observed evidence</w:t>
      </w:r>
    </w:p>
    <w:p>
      <w:pPr>
        <w:pStyle w:val="CodeEvidence"/>
      </w:pPr>
      <w:r>
        <w:t>apps/desktop/src/main.cpp:39–410 contains unconditionally compiled NIGHTLOCK_TEST_* and NIGHTLOCK_SCREENSHOT* environment paths, including unlock input, mutation, secret reveal, and screenshot-to-path behavior.</w:t>
      </w:r>
    </w:p>
    <w:p>
      <w:pPr>
        <w:pStyle w:val="CodeEvidence"/>
      </w:pPr>
      <w:r>
        <w:t>CMake compiles this source into the normal desktop executable; no release-only exclusion was found.</w:t>
      </w:r>
    </w:p>
    <w:p>
      <w:pPr>
        <w:pStyle w:val="CodeEvidence"/>
      </w:pPr>
      <w:r>
        <w:t>Hooks call production methods such as unlock and debugSpoiler rather than a separate mock harness.</w:t>
      </w:r>
    </w:p>
    <w:p>
      <w:pPr>
        <w:pStyle w:val="Heading3"/>
      </w:pPr>
      <w:r>
        <w:t>Risk and attack path</w:t>
      </w:r>
    </w:p>
    <w:p>
      <w:r>
        <w:rPr>
          <w:i w:val="0"/>
        </w:rPr>
        <w:t>An attacker controlling how the application is launched can make a future trusted/signed Nightlock binary perform test actions or export UI after the user satisfies Touch ID. Some paths require a known password or timing, but the release binary exposes privileged behavior with no user-facing consent.</w:t>
      </w:r>
    </w:p>
    <w:p>
      <w:pPr>
        <w:pStyle w:val="Heading3"/>
      </w:pPr>
      <w:r>
        <w:t>Root cause</w:t>
      </w:r>
    </w:p>
    <w:p>
      <w:r>
        <w:rPr>
          <w:i w:val="0"/>
        </w:rPr>
        <w:t>Visual QA infrastructure and production functionality share the same executable and runtime dispatch surface.</w:t>
      </w:r>
    </w:p>
    <w:p>
      <w:pPr>
        <w:pStyle w:val="Heading3"/>
      </w:pPr>
      <w:r>
        <w:t>KeePassXC / industry comparison</w:t>
      </w:r>
    </w:p>
    <w:p>
      <w:r>
        <w:rPr>
          <w:i w:val="0"/>
        </w:rPr>
        <w:t>KeePassXC exposes documented operational flags, but production test instrumentation is separated and its release assurance is independently reviewed. [R04, R17]</w:t>
      </w:r>
    </w:p>
    <w:p>
      <w:pPr>
        <w:pStyle w:val="Heading3"/>
      </w:pPr>
      <w:r>
        <w:t>Required remediation</w:t>
      </w:r>
    </w:p>
    <w:p>
      <w:pPr>
        <w:pStyle w:val="ListBullet"/>
      </w:pPr>
      <w:r>
        <w:t>Build test/demo/screenshot functionality only in a separate target or behind a compile definition that cannot be enabled in release packaging.</w:t>
      </w:r>
    </w:p>
    <w:p>
      <w:pPr>
        <w:pStyle w:val="ListBullet"/>
      </w:pPr>
      <w:r>
        <w:t>Remove environment-based master-password input from the GUI production binary.</w:t>
      </w:r>
    </w:p>
    <w:p>
      <w:pPr>
        <w:pStyle w:val="ListBullet"/>
      </w:pPr>
      <w:r>
        <w:t>Add a release binary string/symbol deny-list and package test proving hooks and demo credentials are absent.</w:t>
      </w:r>
    </w:p>
    <w:p>
      <w:pPr>
        <w:pStyle w:val="Heading3"/>
      </w:pPr>
      <w:r>
        <w:t>Acceptance criteria</w:t>
      </w:r>
    </w:p>
    <w:p>
      <w:pPr>
        <w:pStyle w:val="ListBullet"/>
      </w:pPr>
      <w:r>
        <w:t>Final signed artifacts contain none of the forbidden environment names, demo passwords, or debug entry points.</w:t>
      </w:r>
    </w:p>
    <w:p>
      <w:pPr>
        <w:pStyle w:val="ListBullet"/>
      </w:pPr>
      <w:r>
        <w:t>Visual regression testing uses a separate unsigned test harness and synthetic vaults.</w:t>
      </w:r>
    </w:p>
    <w:p>
      <w:pPr>
        <w:pStyle w:val="ListBullet"/>
      </w:pPr>
      <w:r>
        <w:t>Attempting the old environment variables against production has no effect and cannot create files.</w:t>
      </w:r>
    </w:p>
    <w:p>
      <w:pPr>
        <w:pBdr>
          <w:bottom w:val="single" w:sz="4" w:space="6" w:color="D0D5DD"/>
        </w:pBdr>
      </w:pPr>
    </w:p>
    <w:p>
      <w:pPr>
        <w:pStyle w:val="Heading2"/>
        <w:keepNext/>
      </w:pPr>
      <w:r>
        <w:t>NL-SEC-016 — Pinned Qt 6.10.1 includes known Qt SVG vulnerabilities reachable through icon loading</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dependency and parser exposure confirmed; delivery path inferred</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Dependency security</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CVE-2026-6210</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Immediate dependency patch and release gate.</w:t>
            </w:r>
          </w:p>
        </w:tc>
      </w:tr>
    </w:tbl>
    <w:p>
      <w:pPr>
        <w:pStyle w:val="Heading3"/>
      </w:pPr>
      <w:r>
        <w:t>Observed evidence</w:t>
      </w:r>
    </w:p>
    <w:p>
      <w:pPr>
        <w:pStyle w:val="CodeEvidence"/>
      </w:pPr>
      <w:r>
        <w:t>Build and release workflows pin Qt 6.10.1 (.github/workflows/build.yml:18–22; release.yml:31–35, 61–65, 94–98).</w:t>
      </w:r>
    </w:p>
    <w:p>
      <w:pPr>
        <w:pStyle w:val="CodeEvidence"/>
      </w:pPr>
      <w:r>
        <w:t>Nightlock links Qt6::Svg, accepts an icon path from vault data, and constructs QIcon from it (apps/desktop/CMakeLists.txt:71; core/src/format/serialize.cpp:142–147; entrylistmodel.cpp:240–243; entrydetailview.cpp:507–514).</w:t>
      </w:r>
    </w:p>
    <w:p>
      <w:pPr>
        <w:pStyle w:val="CodeEvidence"/>
      </w:pPr>
      <w:r>
        <w:t>Qt assigns CVE-2026-6210 a CVSS v4.0 score of 8.7 (AV:N/AC:L/AT:N/PR:N/UI:N/VC:N/VI:N/VA:H/SC:N/SI:N/SA:N) for affected Qt SVG versions and published additional CVE-2026-8168 Qt 6.10 patch files in July 2026. [R14, R15]</w:t>
      </w:r>
    </w:p>
    <w:p>
      <w:pPr>
        <w:pStyle w:val="Heading3"/>
      </w:pPr>
      <w:r>
        <w:t>Risk and attack path</w:t>
      </w:r>
    </w:p>
    <w:p>
      <w:r>
        <w:rPr>
          <w:i w:val="0"/>
        </w:rPr>
        <w:t>An attacker-supplied vault plus referenced malicious SVG, or a poisoned packaged asset, can reach the vulnerable decoder and at minimum crash Nightlock. The exact Nightlock delivery prerequisites are narrower than the vendor's generic CVSS vector and should be tested, not assumed.</w:t>
      </w:r>
    </w:p>
    <w:p>
      <w:pPr>
        <w:pStyle w:val="Heading3"/>
      </w:pPr>
      <w:r>
        <w:t>Root cause</w:t>
      </w:r>
    </w:p>
    <w:p>
      <w:r>
        <w:rPr>
          <w:i w:val="0"/>
        </w:rPr>
        <w:t>Dependencies are version-pinned for reproducibility but not continuously evaluated against vendor security advisories; arbitrary external icon paths enlarge the decoder boundary.</w:t>
      </w:r>
    </w:p>
    <w:p>
      <w:pPr>
        <w:pStyle w:val="Heading3"/>
      </w:pPr>
      <w:r>
        <w:t>KeePassXC / industry comparison</w:t>
      </w:r>
    </w:p>
    <w:p>
      <w:r>
        <w:rPr>
          <w:i w:val="0"/>
        </w:rPr>
        <w:t>KeePassXC also has a large Qt surface, but its release process, dependency maintenance, hardening, and audit history materially reduce exposure duration. [R04, R17]</w:t>
      </w:r>
    </w:p>
    <w:p>
      <w:pPr>
        <w:pStyle w:val="Heading3"/>
      </w:pPr>
      <w:r>
        <w:t>Required remediation</w:t>
      </w:r>
    </w:p>
    <w:p>
      <w:pPr>
        <w:pStyle w:val="ListBullet"/>
      </w:pPr>
      <w:r>
        <w:t>Immediately build against a supported Qt revision with every applicable vendor security patch; verify the packaged library, not only the workflow input.</w:t>
      </w:r>
    </w:p>
    <w:p>
      <w:pPr>
        <w:pStyle w:val="ListBullet"/>
      </w:pPr>
      <w:r>
        <w:t>Remove arbitrary icon filesystem paths from the vault. Use reviewed embedded IDs or import through a size/type-limited sandbox that re-encodes to a safe raster format.</w:t>
      </w:r>
    </w:p>
    <w:p>
      <w:pPr>
        <w:pStyle w:val="ListBullet"/>
      </w:pPr>
      <w:r>
        <w:t>Maintain continuous SCA/advisory monitoring and a patch SLA for secret-bearing dependencies.</w:t>
      </w:r>
    </w:p>
    <w:p>
      <w:pPr>
        <w:pStyle w:val="Heading3"/>
      </w:pPr>
      <w:r>
        <w:t>Acceptance criteria</w:t>
      </w:r>
    </w:p>
    <w:p>
      <w:pPr>
        <w:pStyle w:val="ListBullet"/>
      </w:pPr>
      <w:r>
        <w:t>Final package inventory proves patched Qt components and hashes on all platforms.</w:t>
      </w:r>
    </w:p>
    <w:p>
      <w:pPr>
        <w:pStyle w:val="ListBullet"/>
      </w:pPr>
      <w:r>
        <w:t>Malicious SVG/image regression corpus runs under ASan/UBSan and a sandbox with bounded time/RSS.</w:t>
      </w:r>
    </w:p>
    <w:p>
      <w:pPr>
        <w:pStyle w:val="ListBullet"/>
      </w:pPr>
      <w:r>
        <w:t>A vault cannot make the secret-bearing process decode an arbitrary external path.</w:t>
      </w:r>
    </w:p>
    <w:p>
      <w:pPr>
        <w:pBdr>
          <w:bottom w:val="single" w:sz="4" w:space="6" w:color="D0D5DD"/>
        </w:pBdr>
      </w:pPr>
    </w:p>
    <w:p>
      <w:pPr>
        <w:pStyle w:val="Heading2"/>
        <w:keepNext/>
      </w:pPr>
      <w:r>
        <w:t>NL-SEC-017 — Settings falsely indicate that automatic security updates are enabled</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direct source and dependency trace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Patch management and trust</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CWE-1026</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Remove UI now; signed updater is a P1/P2 gate.</w:t>
            </w:r>
          </w:p>
        </w:tc>
      </w:tr>
    </w:tbl>
    <w:p>
      <w:pPr>
        <w:pStyle w:val="Heading3"/>
      </w:pPr>
      <w:r>
        <w:t>Observed evidence</w:t>
      </w:r>
    </w:p>
    <w:p>
      <w:pPr>
        <w:pStyle w:val="CodeEvidence"/>
      </w:pPr>
      <w:r>
        <w:t>Settings creates a ‘Check for updates’ button and an ON ‘Automatic updates’ switch (apps/desktop/src/windows/settingswindow.cpp:417–422).</w:t>
      </w:r>
    </w:p>
    <w:p>
      <w:pPr>
        <w:pStyle w:val="CodeEvidence"/>
      </w:pPr>
      <w:r>
        <w:t>The button is not connected, the switch is not persisted, and no updater or Qt Network dependency exists.</w:t>
      </w:r>
    </w:p>
    <w:p>
      <w:pPr>
        <w:pStyle w:val="CodeEvidence"/>
      </w:pPr>
      <w:r>
        <w:t>Current packages are unsigned, so a safe updater could not simply download and execute replacement binaries.</w:t>
      </w:r>
    </w:p>
    <w:p>
      <w:pPr>
        <w:pStyle w:val="Heading3"/>
      </w:pPr>
      <w:r>
        <w:t>Risk and attack path</w:t>
      </w:r>
    </w:p>
    <w:p>
      <w:r>
        <w:rPr>
          <w:i w:val="0"/>
        </w:rPr>
        <w:t>Users can reasonably believe they receive fixes while remaining on a version with known dependency vulnerabilities. False patch assurance is worse than an honest ‘updates unavailable’ state.</w:t>
      </w:r>
    </w:p>
    <w:p>
      <w:pPr>
        <w:pStyle w:val="Heading3"/>
      </w:pPr>
      <w:r>
        <w:t>Root cause</w:t>
      </w:r>
    </w:p>
    <w:p>
      <w:r>
        <w:rPr>
          <w:i w:val="0"/>
        </w:rPr>
        <w:t>The interface was implemented ahead of the security architecture and backend capability.</w:t>
      </w:r>
    </w:p>
    <w:p>
      <w:pPr>
        <w:pStyle w:val="Heading3"/>
      </w:pPr>
      <w:r>
        <w:t>KeePassXC / industry comparison</w:t>
      </w:r>
    </w:p>
    <w:p>
      <w:r>
        <w:rPr>
          <w:i w:val="0"/>
        </w:rPr>
        <w:t>KeePassXC provides explicit download channels, signed artifacts, verification instructions, and platform package channels; update behavior is a real, documented boundary. [R16, R17]</w:t>
      </w:r>
    </w:p>
    <w:p>
      <w:pPr>
        <w:pStyle w:val="Heading3"/>
      </w:pPr>
      <w:r>
        <w:t>Required remediation</w:t>
      </w:r>
    </w:p>
    <w:p>
      <w:pPr>
        <w:pStyle w:val="ListBullet"/>
      </w:pPr>
      <w:r>
        <w:t>Remove or visibly disable the controls immediately and show the installed version plus authenticated manual verification instructions.</w:t>
      </w:r>
    </w:p>
    <w:p>
      <w:pPr>
        <w:pStyle w:val="ListBullet"/>
      </w:pPr>
      <w:r>
        <w:t>Later implement a least-privilege updater outside the vault process using threshold/offline-root signed, rollback-resistant metadata and signed packages.</w:t>
      </w:r>
    </w:p>
    <w:p>
      <w:pPr>
        <w:pStyle w:val="ListBullet"/>
      </w:pPr>
      <w:r>
        <w:t>Make authenticity checks non-disableable; users may choose notification/manual installation, not unsigned updates.</w:t>
      </w:r>
    </w:p>
    <w:p>
      <w:pPr>
        <w:pStyle w:val="Heading3"/>
      </w:pPr>
      <w:r>
        <w:t>Acceptance criteria</w:t>
      </w:r>
    </w:p>
    <w:p>
      <w:pPr>
        <w:pStyle w:val="ListBullet"/>
      </w:pPr>
      <w:r>
        <w:t>UI state is backed by a tested service and accurately reflects last successful authenticated check/install.</w:t>
      </w:r>
    </w:p>
    <w:p>
      <w:pPr>
        <w:pStyle w:val="ListBullet"/>
      </w:pPr>
      <w:r>
        <w:t>Tampered, replayed, expired, wrong-platform, or wrong-version metadata/artifacts are rejected.</w:t>
      </w:r>
    </w:p>
    <w:p>
      <w:pPr>
        <w:pStyle w:val="ListBullet"/>
      </w:pPr>
      <w:r>
        <w:t>Updater compromise cannot read unlocked vault memory or signing keys.</w:t>
      </w:r>
    </w:p>
    <w:p>
      <w:pPr>
        <w:pBdr>
          <w:bottom w:val="single" w:sz="4" w:space="6" w:color="D0D5DD"/>
        </w:pBdr>
      </w:pPr>
    </w:p>
    <w:p>
      <w:pPr>
        <w:pStyle w:val="Heading2"/>
        <w:keepNext/>
      </w:pPr>
      <w:r>
        <w:t>NL-SEC-018 — CI uses mutable inputs and produces no SBOM or signed provenance</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workflow evidence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Software supply chain</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CWE-1357</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P0/P1 release assurance gate.</w:t>
            </w:r>
          </w:p>
        </w:tc>
      </w:tr>
    </w:tbl>
    <w:p>
      <w:pPr>
        <w:pStyle w:val="Heading3"/>
      </w:pPr>
      <w:r>
        <w:t>Observed evidence</w:t>
      </w:r>
    </w:p>
    <w:p>
      <w:pPr>
        <w:pStyle w:val="CodeEvidence"/>
      </w:pPr>
      <w:r>
        <w:t>GitHub Actions are referenced by mutable major tags; Inno Setup is installed without a version pin; Qt installation relies on an external action (.github/workflows/build.yml and release.yml).</w:t>
      </w:r>
    </w:p>
    <w:p>
      <w:pPr>
        <w:pStyle w:val="CodeEvidence"/>
      </w:pPr>
      <w:r>
        <w:t>No top-level deny-by-default permissions, action-SHA policy, dependency lock, SBOM, artifact attestation, or provenance verification appears in the workflows.</w:t>
      </w:r>
    </w:p>
    <w:p>
      <w:pPr>
        <w:pStyle w:val="CodeEvidence"/>
      </w:pPr>
      <w:r>
        <w:t>The human third-party inventory calls SBOM/provenance release requirements, but the release job publishes without them (THIRD_PARTY_NOTICES.md:21–29).</w:t>
      </w:r>
    </w:p>
    <w:p>
      <w:pPr>
        <w:pStyle w:val="Heading3"/>
      </w:pPr>
      <w:r>
        <w:t>Risk and attack path</w:t>
      </w:r>
    </w:p>
    <w:p>
      <w:r>
        <w:rPr>
          <w:i w:val="0"/>
        </w:rPr>
        <w:t>A moved/compromised action tag, tool package, dependency source, or build runner can alter binaries. Same-workflow checksums faithfully authenticate the malicious output, not the intended source.</w:t>
      </w:r>
    </w:p>
    <w:p>
      <w:pPr>
        <w:pStyle w:val="Heading3"/>
      </w:pPr>
      <w:r>
        <w:t>Root cause</w:t>
      </w:r>
    </w:p>
    <w:p>
      <w:r>
        <w:rPr>
          <w:i w:val="0"/>
        </w:rPr>
        <w:t>Build convenience and platform coverage are present; hermetic inputs, least privilege, and independently verifiable output identity are not.</w:t>
      </w:r>
    </w:p>
    <w:p>
      <w:pPr>
        <w:pStyle w:val="Heading3"/>
      </w:pPr>
      <w:r>
        <w:t>KeePassXC / industry comparison</w:t>
      </w:r>
    </w:p>
    <w:p>
      <w:r>
        <w:rPr>
          <w:i w:val="0"/>
        </w:rPr>
        <w:t>KeePassXC pins a dependency baseline and publishes signatures. SLSA v1.2 and GitHub attestations provide a practical route to signed provenance, while explicitly not proving that the code itself is secure. [R16, R27, R28]</w:t>
      </w:r>
    </w:p>
    <w:p>
      <w:pPr>
        <w:pStyle w:val="Heading3"/>
      </w:pPr>
      <w:r>
        <w:t>Required remediation</w:t>
      </w:r>
    </w:p>
    <w:p>
      <w:pPr>
        <w:pStyle w:val="ListBullet"/>
      </w:pPr>
      <w:r>
        <w:t>Pin every action to a reviewed full SHA; pin/verify Qt, libsodium upstream, Inno Setup, packaging tools, and runner images where feasible.</w:t>
      </w:r>
    </w:p>
    <w:p>
      <w:pPr>
        <w:pStyle w:val="ListBullet"/>
      </w:pPr>
      <w:r>
        <w:t>Set permissions: {} by default, grant read-only to build jobs, and isolate publication/signing behind protected environments and two-person approval.</w:t>
      </w:r>
    </w:p>
    <w:p>
      <w:pPr>
        <w:pStyle w:val="ListBullet"/>
      </w:pPr>
      <w:r>
        <w:t>Generate SPDX/CycloneDX SBOM from final package contents and OIDC-backed build provenance; publish and verify both.</w:t>
      </w:r>
    </w:p>
    <w:p>
      <w:pPr>
        <w:pStyle w:val="ListBullet"/>
      </w:pPr>
      <w:r>
        <w:t>Target SLSA Build L2 promptly and assess an isolated reusable builder path toward L3.</w:t>
      </w:r>
    </w:p>
    <w:p>
      <w:pPr>
        <w:pStyle w:val="Heading3"/>
      </w:pPr>
      <w:r>
        <w:t>Acceptance criteria</w:t>
      </w:r>
    </w:p>
    <w:p>
      <w:pPr>
        <w:pStyle w:val="ListBullet"/>
      </w:pPr>
      <w:r>
        <w:t>Repository policy rejects mutable action references and unpinned network fetches in release workflows.</w:t>
      </w:r>
    </w:p>
    <w:p>
      <w:pPr>
        <w:pStyle w:val="ListBullet"/>
      </w:pPr>
      <w:r>
        <w:t>Every artifact has verifiable provenance naming commit, workflow, runner, inputs, digest, and SBOM; verification is part of release gating.</w:t>
      </w:r>
    </w:p>
    <w:p>
      <w:pPr>
        <w:pStyle w:val="ListBullet"/>
      </w:pPr>
      <w:r>
        <w:t>A build step cannot access publication/signing secrets or persist into another build.</w:t>
      </w:r>
    </w:p>
    <w:p>
      <w:pPr>
        <w:pBdr>
          <w:bottom w:val="single" w:sz="4" w:space="6" w:color="D0D5DD"/>
        </w:pBdr>
      </w:pPr>
    </w:p>
    <w:p>
      <w:pPr>
        <w:pStyle w:val="Heading2"/>
        <w:keepNext/>
      </w:pPr>
      <w:r>
        <w:t>NL-SEC-019 — Compiler, linker, runtime, sandbox, and crash-dump hardening are not defined or verified</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for control absence; platform result unverified</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Platform hardening</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CWE-693</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P1 release-hardening gate.</w:t>
            </w:r>
          </w:p>
        </w:tc>
      </w:tr>
    </w:tbl>
    <w:p>
      <w:pPr>
        <w:pStyle w:val="Heading3"/>
      </w:pPr>
      <w:r>
        <w:t>Observed evidence</w:t>
      </w:r>
    </w:p>
    <w:p>
      <w:pPr>
        <w:pStyle w:val="CodeEvidence"/>
      </w:pPr>
      <w:r>
        <w:t>Root CMake defines C++20 and feature options but no explicit cross-platform mitigation baseline (CMakeLists.txt:10–17).</w:t>
      </w:r>
    </w:p>
    <w:p>
      <w:pPr>
        <w:pStyle w:val="CodeEvidence"/>
      </w:pPr>
      <w:r>
        <w:t>No project policy or post-link verification was found for stack protector, FORTIFY, PIE/ASLR, RELRO/NOW, CFG/CET, library validation, hardened runtime, or no-exec stack.</w:t>
      </w:r>
    </w:p>
    <w:p>
      <w:pPr>
        <w:pStyle w:val="CodeEvidence"/>
      </w:pPr>
      <w:r>
        <w:t>No core-dump/crash-report suppression is implemented despite accepted Qt plaintext copies; macOS has no hardened-runtime entitlements and Linux ships an unsandboxed .deb.</w:t>
      </w:r>
    </w:p>
    <w:p>
      <w:pPr>
        <w:pStyle w:val="Heading3"/>
      </w:pPr>
      <w:r>
        <w:t>Risk and attack path</w:t>
      </w:r>
    </w:p>
    <w:p>
      <w:r>
        <w:rPr>
          <w:i w:val="0"/>
        </w:rPr>
        <w:t>A native memory-safety defect may be easier to exploit, and a crash can place secrets in OS diagnostics. Toolchain defaults may enable some mitigations, but Nightlock cannot claim a uniform verified baseline.</w:t>
      </w:r>
    </w:p>
    <w:p>
      <w:pPr>
        <w:pStyle w:val="Heading3"/>
      </w:pPr>
      <w:r>
        <w:t>Root cause</w:t>
      </w:r>
    </w:p>
    <w:p>
      <w:r>
        <w:rPr>
          <w:i w:val="0"/>
        </w:rPr>
        <w:t>Security properties are delegated to unspecified compiler/packager defaults and are not treated as release invariants.</w:t>
      </w:r>
    </w:p>
    <w:p>
      <w:pPr>
        <w:pStyle w:val="Heading3"/>
      </w:pPr>
      <w:r>
        <w:t>KeePassXC / industry comparison</w:t>
      </w:r>
    </w:p>
    <w:p>
      <w:r>
        <w:rPr>
          <w:i w:val="0"/>
        </w:rPr>
        <w:t>KeePassXC's build system explicitly configures and checks numerous platform mitigations and core-dump controls. [R26]</w:t>
      </w:r>
    </w:p>
    <w:p>
      <w:pPr>
        <w:pStyle w:val="Heading3"/>
      </w:pPr>
      <w:r>
        <w:t>Required remediation</w:t>
      </w:r>
    </w:p>
    <w:p>
      <w:pPr>
        <w:pStyle w:val="ListBullet"/>
      </w:pPr>
      <w:r>
        <w:t>Define checked hardening profiles: stack protection, fortified libc, PIE/ASLR, full RELRO/NOW/no-exec-stack on ELF; CFG, high-entropy ASLR, NX, CET where supported on Windows; hardened runtime/library validation/minimal entitlements on macOS.</w:t>
      </w:r>
    </w:p>
    <w:p>
      <w:pPr>
        <w:pStyle w:val="ListBullet"/>
      </w:pPr>
      <w:r>
        <w:t>Disable full/core dumps by default; make diagnostic relaxation explicit and warn never to use a real vault.</w:t>
      </w:r>
    </w:p>
    <w:p>
      <w:pPr>
        <w:pStyle w:val="ListBullet"/>
      </w:pPr>
      <w:r>
        <w:t>Prefer a no-network sandboxed package on Linux and restrict image/plugin search paths on every platform.</w:t>
      </w:r>
    </w:p>
    <w:p>
      <w:pPr>
        <w:pStyle w:val="Heading3"/>
      </w:pPr>
      <w:r>
        <w:t>Acceptance criteria</w:t>
      </w:r>
    </w:p>
    <w:p>
      <w:pPr>
        <w:pStyle w:val="ListBullet"/>
      </w:pPr>
      <w:r>
        <w:t>CI inspects final binaries/packages with platform tools and fails on missing required mitigations or unexpected dependencies/plugins.</w:t>
      </w:r>
    </w:p>
    <w:p>
      <w:pPr>
        <w:pStyle w:val="ListBullet"/>
      </w:pPr>
      <w:r>
        <w:t>Crash tests confirm no automatic upload and no unencrypted secret-bearing dump in default configuration.</w:t>
      </w:r>
    </w:p>
    <w:p>
      <w:pPr>
        <w:pStyle w:val="ListBullet"/>
      </w:pPr>
      <w:r>
        <w:t>Exceptions are documented per platform, narrowly scoped, and security-reviewed.</w:t>
      </w:r>
    </w:p>
    <w:p>
      <w:pPr>
        <w:pBdr>
          <w:bottom w:val="single" w:sz="4" w:space="6" w:color="D0D5DD"/>
        </w:pBdr>
      </w:pPr>
    </w:p>
    <w:p>
      <w:pPr>
        <w:pStyle w:val="Heading2"/>
        <w:keepNext/>
      </w:pPr>
      <w:r>
        <w:t>NL-SEC-020 — Security testing does not cover the highest-risk desktop, parser, and release behaviors</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test/workflow inventory</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Verification and assurance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CWE-1059</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P1 assurance gate; independent audit required before KeePass-class claim.</w:t>
            </w:r>
          </w:p>
        </w:tc>
      </w:tr>
    </w:tbl>
    <w:p>
      <w:pPr>
        <w:pStyle w:val="Heading3"/>
      </w:pPr>
      <w:r>
        <w:t>Observed evidence</w:t>
      </w:r>
    </w:p>
    <w:p>
      <w:pPr>
        <w:pStyle w:val="CodeEvidence"/>
      </w:pPr>
      <w:r>
        <w:t>The committed suite contains core unit tests and one CLI smoke test; there is no desktop/platform test target (tests/CMakeLists.txt:1–33).</w:t>
      </w:r>
    </w:p>
    <w:p>
      <w:pPr>
        <w:pStyle w:val="CodeEvidence"/>
      </w:pPr>
      <w:r>
        <w:t>CI runs ordinary Release ctest only. No fuzzing, static analysis, CodeQL, dependency review, secret scan, sanitizer matrix, GUI security test, fault injection, or package install/security test is a merge/release gate.</w:t>
      </w:r>
    </w:p>
    <w:p>
      <w:pPr>
        <w:pStyle w:val="CodeEvidence"/>
      </w:pPr>
      <w:r>
        <w:t>This assessment's Release and ASan/UBSan core/CLI runs passed 2/2, but they do not exercise Qt, Keychain, packaging, memory dumps, image decoders, or hostile concurrency.</w:t>
      </w:r>
    </w:p>
    <w:p>
      <w:pPr>
        <w:pStyle w:val="Heading3"/>
      </w:pPr>
      <w:r>
        <w:t>Risk and attack path</w:t>
      </w:r>
    </w:p>
    <w:p>
      <w:r>
        <w:rPr>
          <w:i w:val="0"/>
        </w:rPr>
        <w:t>The defects with highest impact—post-lock memory, old-password backups, symlink saves, Touch ID fallback, UI masking, and release identity—sit outside the existing automated boundary. Green CI therefore provides weak security assurance.</w:t>
      </w:r>
    </w:p>
    <w:p>
      <w:pPr>
        <w:pStyle w:val="Heading3"/>
      </w:pPr>
      <w:r>
        <w:t>Root cause</w:t>
      </w:r>
    </w:p>
    <w:p>
      <w:r>
        <w:rPr>
          <w:i w:val="0"/>
        </w:rPr>
        <w:t>Testing follows functional module boundaries, not the product threat model or secret lifecycle.</w:t>
      </w:r>
    </w:p>
    <w:p>
      <w:pPr>
        <w:pStyle w:val="Heading3"/>
      </w:pPr>
      <w:r>
        <w:t>KeePassXC / industry comparison</w:t>
      </w:r>
    </w:p>
    <w:p>
      <w:r>
        <w:rPr>
          <w:i w:val="0"/>
        </w:rPr>
        <w:t>KeePassXC has independent source review and an ANSSI CSPN evaluation in addition to its internal quality controls. Nightlock has no equivalent external assurance. [R04, R05, R06]</w:t>
      </w:r>
    </w:p>
    <w:p>
      <w:pPr>
        <w:pStyle w:val="Heading3"/>
      </w:pPr>
      <w:r>
        <w:t>Required remediation</w:t>
      </w:r>
    </w:p>
    <w:p>
      <w:pPr>
        <w:pStyle w:val="ListBullet"/>
      </w:pPr>
      <w:r>
        <w:t>Create a threat-derived security test plan with release-blocking ASan/UBSan, static analysis, SCA, secret scan, parser fuzzing, fault injection, and GUI lifecycle tests.</w:t>
      </w:r>
    </w:p>
    <w:p>
      <w:pPr>
        <w:pStyle w:val="ListBullet"/>
      </w:pPr>
      <w:r>
        <w:t>Test final packages on clean platform VMs: install, signature, launch, create/open/save/rekey/lock, update, and uninstall.</w:t>
      </w:r>
    </w:p>
    <w:p>
      <w:pPr>
        <w:pStyle w:val="ListBullet"/>
      </w:pPr>
      <w:r>
        <w:t>Add memory sentinel tests, clipboard ownership/expiry, screen-capture behavior, OS-session transitions, Keychain/Windows credential controls, and release hook absence.</w:t>
      </w:r>
    </w:p>
    <w:p>
      <w:pPr>
        <w:pStyle w:val="ListBullet"/>
      </w:pPr>
      <w:r>
        <w:t>Commission an independent architecture/cryptography audit after the v2 design stabilizes and remediate publicly with version-bound scope.</w:t>
      </w:r>
    </w:p>
    <w:p>
      <w:pPr>
        <w:pStyle w:val="Heading3"/>
      </w:pPr>
      <w:r>
        <w:t>Acceptance criteria</w:t>
      </w:r>
    </w:p>
    <w:p>
      <w:pPr>
        <w:pStyle w:val="ListBullet"/>
      </w:pPr>
      <w:r>
        <w:t>Every Critical/High finding has a permanent automated regression or an explicitly documented manual platform gate.</w:t>
      </w:r>
    </w:p>
    <w:p>
      <w:pPr>
        <w:pStyle w:val="ListBullet"/>
      </w:pPr>
      <w:r>
        <w:t>Fuzzers run continuously with corpus/minimization and no unresolved crash; sanitizer findings block merge.</w:t>
      </w:r>
    </w:p>
    <w:p>
      <w:pPr>
        <w:pStyle w:val="ListBullet"/>
      </w:pPr>
      <w:r>
        <w:t>An independent report validates the exact release candidate and all audit findings have tracked disposition.</w:t>
      </w:r>
    </w:p>
    <w:p>
      <w:pPr>
        <w:pBdr>
          <w:bottom w:val="single" w:sz="4" w:space="6" w:color="D0D5DD"/>
        </w:pBdr>
      </w:pPr>
    </w:p>
    <w:p>
      <w:pPr>
        <w:pStyle w:val="Heading2"/>
        <w:keepNext/>
      </w:pPr>
      <w:r>
        <w:t>NL-SEC-021 — Nightlock does not prevent screen capture or recording</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negative source search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Visual confidentiality</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CWE-200</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P0/P1 radical-default control.</w:t>
            </w:r>
          </w:p>
        </w:tc>
      </w:tr>
    </w:tbl>
    <w:p>
      <w:pPr>
        <w:pStyle w:val="Heading3"/>
      </w:pPr>
      <w:r>
        <w:t>Observed evidence</w:t>
      </w:r>
    </w:p>
    <w:p>
      <w:pPr>
        <w:pStyle w:val="CodeEvidence"/>
      </w:pPr>
      <w:r>
        <w:t>No Windows SetWindowDisplayAffinity, macOS screen-capture exclusion, or equivalent application policy was found.</w:t>
      </w:r>
    </w:p>
    <w:p>
      <w:pPr>
        <w:pStyle w:val="CodeEvidence"/>
      </w:pPr>
      <w:r>
        <w:t>Production currently includes its own screenshot hooks, increasing the inconsistency of the visual threat model.</w:t>
      </w:r>
    </w:p>
    <w:p>
      <w:pPr>
        <w:pStyle w:val="CodeEvidence"/>
      </w:pPr>
      <w:r>
        <w:t>docs/security.md acknowledges screenshot exposure as an operating-system boundary.</w:t>
      </w:r>
    </w:p>
    <w:p>
      <w:pPr>
        <w:pStyle w:val="Heading3"/>
      </w:pPr>
      <w:r>
        <w:t>Risk and attack path</w:t>
      </w:r>
    </w:p>
    <w:p>
      <w:r>
        <w:rPr>
          <w:i w:val="0"/>
        </w:rPr>
        <w:t>Meeting recording, screen sharing, remote support tools, background capture malware, and OS thumbnails can record credentials, seed phrases, or the full entry editor. Platform APIs are imperfect, but absence removes a useful default guardrail.</w:t>
      </w:r>
    </w:p>
    <w:p>
      <w:pPr>
        <w:pStyle w:val="Heading3"/>
      </w:pPr>
      <w:r>
        <w:t>Root cause</w:t>
      </w:r>
    </w:p>
    <w:p>
      <w:r>
        <w:rPr>
          <w:i w:val="0"/>
        </w:rPr>
        <w:t>Visual secrecy is treated as outside scope rather than a layered control with explicit limitations.</w:t>
      </w:r>
    </w:p>
    <w:p>
      <w:pPr>
        <w:pStyle w:val="Heading3"/>
      </w:pPr>
      <w:r>
        <w:t>KeePassXC / industry comparison</w:t>
      </w:r>
    </w:p>
    <w:p>
      <w:r>
        <w:rPr>
          <w:i w:val="0"/>
        </w:rPr>
        <w:t>KeePassXC prevents recordings/screenshots by default on Windows and macOS and requires an explicit temporary relaxation. [R03]</w:t>
      </w:r>
    </w:p>
    <w:p>
      <w:pPr>
        <w:pStyle w:val="Heading3"/>
      </w:pPr>
      <w:r>
        <w:t>Required remediation</w:t>
      </w:r>
    </w:p>
    <w:p>
      <w:pPr>
        <w:pStyle w:val="ListBullet"/>
      </w:pPr>
      <w:r>
        <w:t>Block capture by default on supported platforms and suppress previews/thumbnails; fail closed for high-value reveal screens where feasible.</w:t>
      </w:r>
    </w:p>
    <w:p>
      <w:pPr>
        <w:pStyle w:val="ListBullet"/>
      </w:pPr>
      <w:r>
        <w:t>Expose a time-limited ‘Allow screen capture’ relaxation with a persistent warning; never let an environment variable silently bypass it in production.</w:t>
      </w:r>
    </w:p>
    <w:p>
      <w:pPr>
        <w:pStyle w:val="ListBullet"/>
      </w:pPr>
      <w:r>
        <w:t>Re-mask immediately on capture-state changes and document Linux/compositor limitations.</w:t>
      </w:r>
    </w:p>
    <w:p>
      <w:pPr>
        <w:pStyle w:val="Heading3"/>
      </w:pPr>
      <w:r>
        <w:t>Acceptance criteria</w:t>
      </w:r>
    </w:p>
    <w:p>
      <w:pPr>
        <w:pStyle w:val="ListBullet"/>
      </w:pPr>
      <w:r>
        <w:t>Platform tests prove blocked capture for main, dialogs, detached detail, Touch ID prompt, and secret reveal while preserving usability for explicit relaxation.</w:t>
      </w:r>
    </w:p>
    <w:p>
      <w:pPr>
        <w:pStyle w:val="ListBullet"/>
      </w:pPr>
      <w:r>
        <w:t>Security status clearly reports when the OS cannot enforce protection.</w:t>
      </w:r>
    </w:p>
    <w:p>
      <w:pPr>
        <w:pStyle w:val="ListBullet"/>
      </w:pPr>
      <w:r>
        <w:t>Release binary contains no hidden capture bypass.</w:t>
      </w:r>
    </w:p>
    <w:p>
      <w:pPr>
        <w:pBdr>
          <w:bottom w:val="single" w:sz="4" w:space="6" w:color="D0D5DD"/>
        </w:pBdr>
      </w:pPr>
    </w:p>
    <w:p>
      <w:pPr>
        <w:pStyle w:val="Heading2"/>
        <w:keepNext/>
      </w:pPr>
      <w:r>
        <w:t>NL-SEC-022 — Vault unlock supports only a password; there is no composite key or hardware factor</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FFAEB"/>
          </w:tcPr>
          <w:p>
            <w:pPr>
              <w:spacing w:after="40" w:line="240" w:lineRule="auto"/>
            </w:pPr>
            <w:r>
              <w:rPr>
                <w:rFonts w:ascii="Calibri" w:hAnsi="Calibri"/>
                <w:b/>
                <w:color w:val="C4320A"/>
                <w:sz w:val="17"/>
              </w:rPr>
              <w:t>High</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API/UI inventory</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Authentication architecture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CWE-308</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Strategic parity gate with KeePassXC.</w:t>
            </w:r>
          </w:p>
        </w:tc>
      </w:tr>
    </w:tbl>
    <w:p>
      <w:pPr>
        <w:pStyle w:val="Heading3"/>
      </w:pPr>
      <w:r>
        <w:t>Observed evidence</w:t>
      </w:r>
    </w:p>
    <w:p>
      <w:pPr>
        <w:pStyle w:val="CodeEvidence"/>
      </w:pPr>
      <w:r>
        <w:t>VaultFile::create/open accepts one password string and derives one key; no key-file, recovery, smart-card, FIDO2, or challenge-response slot exists.</w:t>
      </w:r>
    </w:p>
    <w:p>
      <w:pPr>
        <w:pStyle w:val="CodeEvidence"/>
      </w:pPr>
      <w:r>
        <w:t>Touch ID is a convenience escrow of that same password, not an independent cryptographic factor.</w:t>
      </w:r>
    </w:p>
    <w:p>
      <w:pPr>
        <w:pStyle w:val="CodeEvidence"/>
      </w:pPr>
      <w:r>
        <w:t>The format header has no extensible key-slot or factor descriptors.</w:t>
      </w:r>
    </w:p>
    <w:p>
      <w:pPr>
        <w:pStyle w:val="Heading3"/>
      </w:pPr>
      <w:r>
        <w:t>Risk and attack path</w:t>
      </w:r>
    </w:p>
    <w:p>
      <w:r>
        <w:rPr>
          <w:i w:val="0"/>
        </w:rPr>
        <w:t>A copied vault is protected solely by master-password entropy and KDF cost. Users who need a possession factor cannot make the encrypted file useless without a separate device/file.</w:t>
      </w:r>
    </w:p>
    <w:p>
      <w:pPr>
        <w:pStyle w:val="Heading3"/>
      </w:pPr>
      <w:r>
        <w:t>Root cause</w:t>
      </w:r>
    </w:p>
    <w:p>
      <w:r>
        <w:rPr>
          <w:i w:val="0"/>
        </w:rPr>
        <w:t>The v1 format conflates human authentication and content encryption and is not extensible enough for independent unlock methods.</w:t>
      </w:r>
    </w:p>
    <w:p>
      <w:pPr>
        <w:pStyle w:val="Heading3"/>
      </w:pPr>
      <w:r>
        <w:t>KeePassXC / industry comparison</w:t>
      </w:r>
    </w:p>
    <w:p>
      <w:r>
        <w:rPr>
          <w:i w:val="0"/>
        </w:rPr>
        <w:t>KeePassXC combines password, generated key file, and YubiKey/OnlyKey challenge-response. 1Password's separate Secret Key similarly raises resistance to server-side/offline guessing, though its service model differs. [R03, R22]</w:t>
      </w:r>
    </w:p>
    <w:p>
      <w:pPr>
        <w:pStyle w:val="Heading3"/>
      </w:pPr>
      <w:r>
        <w:t>Required remediation</w:t>
      </w:r>
    </w:p>
    <w:p>
      <w:pPr>
        <w:pStyle w:val="ListBullet"/>
      </w:pPr>
      <w:r>
        <w:t>Add versioned key slots around a random vault root key: password, generated key file, FIDO2 hmac-secret/PRF or reviewed hardware challenge-response, and OS-bound quick unlock.</w:t>
      </w:r>
    </w:p>
    <w:p>
      <w:pPr>
        <w:pStyle w:val="ListBullet"/>
      </w:pPr>
      <w:r>
        <w:t>Make radical default password + possession factor for users who opt into high assurance; provide printable recovery material and loss warnings.</w:t>
      </w:r>
    </w:p>
    <w:p>
      <w:pPr>
        <w:pStyle w:val="ListBullet"/>
      </w:pPr>
      <w:r>
        <w:t>Never treat account-style online MFA as a substitute for a local cryptographic factor on an offline file.</w:t>
      </w:r>
    </w:p>
    <w:p>
      <w:pPr>
        <w:pStyle w:val="Heading3"/>
      </w:pPr>
      <w:r>
        <w:t>Acceptance criteria</w:t>
      </w:r>
    </w:p>
    <w:p>
      <w:pPr>
        <w:pStyle w:val="ListBullet"/>
      </w:pPr>
      <w:r>
        <w:t>Stealing the .nlck file plus password is insufficient when a possession slot is mandatory.</w:t>
      </w:r>
    </w:p>
    <w:p>
      <w:pPr>
        <w:pStyle w:val="ListBullet"/>
      </w:pPr>
      <w:r>
        <w:t>Loss/rotation/add/remove/recovery semantics are formally specified and regression-tested without weakening other slots.</w:t>
      </w:r>
    </w:p>
    <w:p>
      <w:pPr>
        <w:pStyle w:val="ListBullet"/>
      </w:pPr>
      <w:r>
        <w:t>Metadata reveals no sensitive factor identifiers beyond what is required to unlock.</w:t>
      </w:r>
    </w:p>
    <w:p>
      <w:pPr>
        <w:pBdr>
          <w:bottom w:val="single" w:sz="4" w:space="6" w:color="D0D5DD"/>
        </w:pBdr>
      </w:pPr>
    </w:p>
    <w:p>
      <w:pPr>
        <w:pStyle w:val="Heading2"/>
        <w:keepNext/>
      </w:pPr>
      <w:r>
        <w:t>NL-SEC-023 — CLI options and stdout paths expose secrets to process lists, shell history, and terminal logs</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EF0C7"/>
          </w:tcPr>
          <w:p>
            <w:pPr>
              <w:spacing w:after="40" w:line="240" w:lineRule="auto"/>
            </w:pPr>
            <w:r>
              <w:rPr>
                <w:rFonts w:ascii="Calibri" w:hAnsi="Calibri"/>
                <w:b/>
                <w:color w:val="B54708"/>
                <w:sz w:val="17"/>
              </w:rPr>
              <w:t>Medium</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direct source trace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CLI secret handling</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CWE-214 / CWE-532</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P1 CLI hardening.</w:t>
            </w:r>
          </w:p>
        </w:tc>
      </w:tr>
    </w:tbl>
    <w:p>
      <w:pPr>
        <w:pStyle w:val="Heading3"/>
      </w:pPr>
      <w:r>
        <w:t>Observed evidence</w:t>
      </w:r>
    </w:p>
    <w:p>
      <w:pPr>
        <w:pStyle w:val="CodeEvidence"/>
      </w:pPr>
      <w:r>
        <w:t>nightlock add accepts login, URL, and note as command-line arguments (apps/cli/src/commands.cpp:163–202).</w:t>
      </w:r>
    </w:p>
    <w:p>
      <w:pPr>
        <w:pStyle w:val="CodeEvidence"/>
      </w:pPr>
      <w:r>
        <w:t>show -p and generated-password flows print secrets to stdout (lines 139–156, 245–248, 335–340).</w:t>
      </w:r>
    </w:p>
    <w:p>
      <w:pPr>
        <w:pStyle w:val="CodeEvidence"/>
      </w:pPr>
      <w:r>
        <w:t>--password-stdin is useful for controlled automation, but pipelines can mix credentials with logs and the GUI also accepts a test password from the environment.</w:t>
      </w:r>
    </w:p>
    <w:p>
      <w:pPr>
        <w:pStyle w:val="Heading3"/>
      </w:pPr>
      <w:r>
        <w:t>Risk and attack path</w:t>
      </w:r>
    </w:p>
    <w:p>
      <w:r>
        <w:rPr>
          <w:i w:val="0"/>
        </w:rPr>
        <w:t>Secrets may enter shell history, ps/process inspection, CI logs, terminal scrollback, command transcripts, or monitoring agents. Explicit reveal is expected sometimes, but safer transfer paths are absent.</w:t>
      </w:r>
    </w:p>
    <w:p>
      <w:pPr>
        <w:pStyle w:val="Heading3"/>
      </w:pPr>
      <w:r>
        <w:t>Root cause</w:t>
      </w:r>
    </w:p>
    <w:p>
      <w:r>
        <w:rPr>
          <w:i w:val="0"/>
        </w:rPr>
        <w:t>The CLI is designed for scriptability without separating metadata arguments from secret channels or requiring a TTY-aware acknowledgment.</w:t>
      </w:r>
    </w:p>
    <w:p>
      <w:pPr>
        <w:pStyle w:val="Heading3"/>
      </w:pPr>
      <w:r>
        <w:t>KeePassXC / industry comparison</w:t>
      </w:r>
    </w:p>
    <w:p>
      <w:r>
        <w:rPr>
          <w:i w:val="0"/>
        </w:rPr>
        <w:t>KeePassXC CLI documents stdin use and mature managers provide browser/Auto-Type integration, reducing the need to print credentials. [R03]</w:t>
      </w:r>
    </w:p>
    <w:p>
      <w:pPr>
        <w:pStyle w:val="Heading3"/>
      </w:pPr>
      <w:r>
        <w:t>Required remediation</w:t>
      </w:r>
    </w:p>
    <w:p>
      <w:pPr>
        <w:pStyle w:val="ListBullet"/>
      </w:pPr>
      <w:r>
        <w:t>Accept secrets through no-echo TTY, dedicated file descriptor, secure editor, or JSON/stdin envelope; warn or reject secret argv use.</w:t>
      </w:r>
    </w:p>
    <w:p>
      <w:pPr>
        <w:pStyle w:val="ListBullet"/>
      </w:pPr>
      <w:r>
        <w:t>Require explicit --reveal with TTY confirmation for stdout; add direct owned clipboard with expiry and narrowly scoped Auto-Type/agent modes.</w:t>
      </w:r>
    </w:p>
    <w:p>
      <w:pPr>
        <w:pStyle w:val="ListBullet"/>
      </w:pPr>
      <w:r>
        <w:t>Never log values or echo them in errors; provide structured metadata-only output by default.</w:t>
      </w:r>
    </w:p>
    <w:p>
      <w:pPr>
        <w:pStyle w:val="Heading3"/>
      </w:pPr>
      <w:r>
        <w:t>Acceptance criteria</w:t>
      </w:r>
    </w:p>
    <w:p>
      <w:pPr>
        <w:pStyle w:val="ListBullet"/>
      </w:pPr>
      <w:r>
        <w:t>Process-list and shell-history tests show no secret for default add/edit flows.</w:t>
      </w:r>
    </w:p>
    <w:p>
      <w:pPr>
        <w:pStyle w:val="ListBullet"/>
      </w:pPr>
      <w:r>
        <w:t>Non-TTY reveal fails safely unless an explicit automation flag is supplied, and documentation labels the risk.</w:t>
      </w:r>
    </w:p>
    <w:p>
      <w:pPr>
        <w:pStyle w:val="ListBullet"/>
      </w:pPr>
      <w:r>
        <w:t>All secret buffers are zeroized after command completion and interruption.</w:t>
      </w:r>
    </w:p>
    <w:p>
      <w:pPr>
        <w:pBdr>
          <w:bottom w:val="single" w:sz="4" w:space="6" w:color="D0D5DD"/>
        </w:pBdr>
      </w:pPr>
    </w:p>
    <w:p>
      <w:pPr>
        <w:pStyle w:val="Heading2"/>
        <w:keepNext/>
      </w:pPr>
      <w:r>
        <w:t>NL-SEC-024 — Vault-controlled URLs cross into rich text and OS protocol handlers without policy</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EF0C7"/>
          </w:tcPr>
          <w:p>
            <w:pPr>
              <w:spacing w:after="40" w:line="240" w:lineRule="auto"/>
            </w:pPr>
            <w:r>
              <w:rPr>
                <w:rFonts w:ascii="Calibri" w:hAnsi="Calibri"/>
                <w:b/>
                <w:color w:val="B54708"/>
                <w:sz w:val="17"/>
              </w:rPr>
              <w:t>Medium</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direct source trace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Untrusted content boundary</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CWE-939 / CWE-79</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P1 input-boundary fix.</w:t>
            </w:r>
          </w:p>
        </w:tc>
      </w:tr>
    </w:tbl>
    <w:p>
      <w:pPr>
        <w:pStyle w:val="Heading3"/>
      </w:pPr>
      <w:r>
        <w:t>Observed evidence</w:t>
      </w:r>
    </w:p>
    <w:p>
      <w:pPr>
        <w:pStyle w:val="CodeEvidence"/>
      </w:pPr>
      <w:r>
        <w:t>EntryDetailView interpolates entry URL into rich HTML and an href without escaping, with external links enabled (apps/desktop/src/widgets/entrydetailview.cpp:487–491).</w:t>
      </w:r>
    </w:p>
    <w:p>
      <w:pPr>
        <w:pStyle w:val="CodeEvidence"/>
      </w:pPr>
      <w:r>
        <w:t>The entry menu passes the raw vault URL to QDesktopServices::openUrl (apps/desktop/src/windows/mainwindow.cpp:1471–1474).</w:t>
      </w:r>
    </w:p>
    <w:p>
      <w:pPr>
        <w:pStyle w:val="CodeEvidence"/>
      </w:pPr>
      <w:r>
        <w:t>No scheme allowlist, normalized-origin display, IDN warning, or confirmation for non-web handlers was found.</w:t>
      </w:r>
    </w:p>
    <w:p>
      <w:pPr>
        <w:pStyle w:val="Heading3"/>
      </w:pPr>
      <w:r>
        <w:t>Risk and attack path</w:t>
      </w:r>
    </w:p>
    <w:p>
      <w:r>
        <w:rPr>
          <w:i w:val="0"/>
        </w:rPr>
        <w:t>A shared/imported/hostile vault can disguise a destination or invoke file:, custom protocols, or a vulnerable external handler. Rich-text attribute injection can alter what the user sees even if Qt does not execute scripts.</w:t>
      </w:r>
    </w:p>
    <w:p>
      <w:pPr>
        <w:pStyle w:val="Heading3"/>
      </w:pPr>
      <w:r>
        <w:t>Root cause</w:t>
      </w:r>
    </w:p>
    <w:p>
      <w:r>
        <w:rPr>
          <w:i w:val="0"/>
        </w:rPr>
        <w:t>Vault data is trusted after successful decryption, but possession of a valid password does not make all content safe to execute or render.</w:t>
      </w:r>
    </w:p>
    <w:p>
      <w:pPr>
        <w:pStyle w:val="Heading3"/>
      </w:pPr>
      <w:r>
        <w:t>KeePassXC / industry comparison</w:t>
      </w:r>
    </w:p>
    <w:p>
      <w:r>
        <w:rPr>
          <w:i w:val="0"/>
        </w:rPr>
        <w:t>KeePassXC's browser integration maintains per-entry URL associations/allow-deny decisions and reports them, though URL handling remains a general password-manager risk. [R03]</w:t>
      </w:r>
    </w:p>
    <w:p>
      <w:pPr>
        <w:pStyle w:val="Heading3"/>
      </w:pPr>
      <w:r>
        <w:t>Required remediation</w:t>
      </w:r>
    </w:p>
    <w:p>
      <w:pPr>
        <w:pStyle w:val="ListBullet"/>
      </w:pPr>
      <w:r>
        <w:t>Render the displayed URL as plain escaped text; parse and normalize separately.</w:t>
      </w:r>
    </w:p>
    <w:p>
      <w:pPr>
        <w:pStyle w:val="ListBullet"/>
      </w:pPr>
      <w:r>
        <w:t>Allow only https/http by default, highlight Unicode/punycode origin, and require confirmation for every other scheme or local path.</w:t>
      </w:r>
    </w:p>
    <w:p>
      <w:pPr>
        <w:pStyle w:val="ListBullet"/>
      </w:pPr>
      <w:r>
        <w:t>Treat imported/shared vault content as untrusted and add policy to the security status page.</w:t>
      </w:r>
    </w:p>
    <w:p>
      <w:pPr>
        <w:pStyle w:val="Heading3"/>
      </w:pPr>
      <w:r>
        <w:t>Acceptance criteria</w:t>
      </w:r>
    </w:p>
    <w:p>
      <w:pPr>
        <w:pStyle w:val="ListBullet"/>
      </w:pPr>
      <w:r>
        <w:t>Corpus covers quotes/markup, mixed case, whitespace, control characters, IDN homographs, file/data/javascript/custom schemes, and handler failures.</w:t>
      </w:r>
    </w:p>
    <w:p>
      <w:pPr>
        <w:pStyle w:val="ListBullet"/>
      </w:pPr>
      <w:r>
        <w:t>Displayed origin exactly matches the normalized destination approved by the user.</w:t>
      </w:r>
    </w:p>
    <w:p>
      <w:pPr>
        <w:pStyle w:val="ListBullet"/>
      </w:pPr>
      <w:r>
        <w:t>No vault string reaches an OS handler without centralized validation.</w:t>
      </w:r>
    </w:p>
    <w:p>
      <w:pPr>
        <w:pBdr>
          <w:bottom w:val="single" w:sz="4" w:space="6" w:color="D0D5DD"/>
        </w:pBdr>
      </w:pPr>
    </w:p>
    <w:p>
      <w:pPr>
        <w:pStyle w:val="Heading2"/>
        <w:keepNext/>
      </w:pPr>
      <w:r>
        <w:t>NL-SEC-025 — A valid old vault snapshot can be replayed without detection</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EF0C7"/>
          </w:tcPr>
          <w:p>
            <w:pPr>
              <w:spacing w:after="40" w:line="240" w:lineRule="auto"/>
            </w:pPr>
            <w:r>
              <w:rPr>
                <w:rFonts w:ascii="Calibri" w:hAnsi="Calibri"/>
                <w:b/>
                <w:color w:val="B54708"/>
                <w:sz w:val="17"/>
              </w:rPr>
              <w:t>Medium</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format and state review</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Rollback protection</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CWE-294</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P2 continuity control.</w:t>
            </w:r>
          </w:p>
        </w:tc>
      </w:tr>
    </w:tbl>
    <w:p>
      <w:pPr>
        <w:pStyle w:val="Heading3"/>
      </w:pPr>
      <w:r>
        <w:t>Observed evidence</w:t>
      </w:r>
    </w:p>
    <w:p>
      <w:pPr>
        <w:pStyle w:val="CodeEvidence"/>
      </w:pPr>
      <w:r>
        <w:t>The payload contains SavedAt information, but it is not used as a monotonic security decision (core/src/format/serialize.cpp:232–249).</w:t>
      </w:r>
    </w:p>
    <w:p>
      <w:pPr>
        <w:pStyle w:val="CodeEvidence"/>
      </w:pPr>
      <w:r>
        <w:t>There is no authenticated revision bound to last-seen state outside the vault.</w:t>
      </w:r>
    </w:p>
    <w:p>
      <w:pPr>
        <w:pStyle w:val="CodeEvidence"/>
      </w:pPr>
      <w:r>
        <w:t>Any older correctly authenticated .nlck image under the same key remains valid.</w:t>
      </w:r>
    </w:p>
    <w:p>
      <w:pPr>
        <w:pStyle w:val="Heading3"/>
      </w:pPr>
      <w:r>
        <w:t>Risk and attack path</w:t>
      </w:r>
    </w:p>
    <w:p>
      <w:r>
        <w:rPr>
          <w:i w:val="0"/>
        </w:rPr>
        <w:t>An attacker with file-write access or a conflicted sync client can restore a previous valid snapshot, resurrect deleted credentials, remove newly stored credentials, or undo security settings without triggering an integrity error.</w:t>
      </w:r>
    </w:p>
    <w:p>
      <w:pPr>
        <w:pStyle w:val="Heading3"/>
      </w:pPr>
      <w:r>
        <w:t>Root cause</w:t>
      </w:r>
    </w:p>
    <w:p>
      <w:r>
        <w:rPr>
          <w:i w:val="0"/>
        </w:rPr>
        <w:t>AEAD authenticates the file's contents, not its freshness. The product has no external continuity anchor.</w:t>
      </w:r>
    </w:p>
    <w:p>
      <w:pPr>
        <w:pStyle w:val="Heading3"/>
      </w:pPr>
      <w:r>
        <w:t>KeePassXC / industry comparison</w:t>
      </w:r>
    </w:p>
    <w:p>
      <w:r>
        <w:rPr>
          <w:i w:val="0"/>
        </w:rPr>
        <w:t>KDBX merge semantics, UUIDs, history, and deletion records improve conflict handling but no portable local format can fully defeat rollback by an administrator who can also roll back all local state. [R03, R08]</w:t>
      </w:r>
    </w:p>
    <w:p>
      <w:pPr>
        <w:pStyle w:val="Heading3"/>
      </w:pPr>
      <w:r>
        <w:t>Required remediation</w:t>
      </w:r>
    </w:p>
    <w:p>
      <w:pPr>
        <w:pStyle w:val="ListBullet"/>
      </w:pPr>
      <w:r>
        <w:t>Add an authenticated monotonically increasing revision and vault UUID; store last-seen revision/hash in OS secure storage and warn on rollback.</w:t>
      </w:r>
    </w:p>
    <w:p>
      <w:pPr>
        <w:pStyle w:val="ListBullet"/>
      </w:pPr>
      <w:r>
        <w:t>Preserve portability with an explicit ‘unverified on this device’ state rather than silently accepting an older image.</w:t>
      </w:r>
    </w:p>
    <w:p>
      <w:pPr>
        <w:pStyle w:val="ListBullet"/>
      </w:pPr>
      <w:r>
        <w:t>Integrate the mechanism with backups, sync conflict resolution, and key epochs.</w:t>
      </w:r>
    </w:p>
    <w:p>
      <w:pPr>
        <w:pStyle w:val="Heading3"/>
      </w:pPr>
      <w:r>
        <w:t>Acceptance criteria</w:t>
      </w:r>
    </w:p>
    <w:p>
      <w:pPr>
        <w:pStyle w:val="ListBullet"/>
      </w:pPr>
      <w:r>
        <w:t>Replacing the current vault with any prior managed snapshot produces a clear rollback/conflict warning before secrets are released.</w:t>
      </w:r>
    </w:p>
    <w:p>
      <w:pPr>
        <w:pStyle w:val="ListBullet"/>
      </w:pPr>
      <w:r>
        <w:t>Legitimate restore requires explicit reauthentication and creates a new revision without deleting the evidence copy.</w:t>
      </w:r>
    </w:p>
    <w:p>
      <w:pPr>
        <w:pStyle w:val="ListBullet"/>
      </w:pPr>
      <w:r>
        <w:t>Threat model documents limits against full-device rollback/root compromise.</w:t>
      </w:r>
    </w:p>
    <w:p>
      <w:pPr>
        <w:pBdr>
          <w:bottom w:val="single" w:sz="4" w:space="6" w:color="D0D5DD"/>
        </w:pBdr>
      </w:pPr>
    </w:p>
    <w:p>
      <w:pPr>
        <w:pStyle w:val="Heading2"/>
        <w:keepNext/>
      </w:pPr>
      <w:r>
        <w:t>NL-SEC-026 — The TOTP-looking interface stores and displays a static code rather than a verified TOTP secret</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EF0C7"/>
          </w:tcPr>
          <w:p>
            <w:pPr>
              <w:spacing w:after="40" w:line="240" w:lineRule="auto"/>
            </w:pPr>
            <w:r>
              <w:rPr>
                <w:rFonts w:ascii="Calibri" w:hAnsi="Calibri"/>
                <w:b/>
                <w:color w:val="B54708"/>
                <w:sz w:val="17"/>
              </w:rPr>
              <w:t>Medium</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source behavior</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Authentication feature correctness</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CWE-840</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Remove misleading UI or implement in P1.</w:t>
            </w:r>
          </w:p>
        </w:tc>
      </w:tr>
    </w:tbl>
    <w:p>
      <w:pPr>
        <w:pStyle w:val="Heading3"/>
      </w:pPr>
      <w:r>
        <w:t>Observed evidence</w:t>
      </w:r>
    </w:p>
    <w:p>
      <w:pPr>
        <w:pStyle w:val="CodeEvidence"/>
      </w:pPr>
      <w:r>
        <w:t>Entry::code is a stored secure string; no RFC 6238/TOTP cryptographic implementation was found.</w:t>
      </w:r>
    </w:p>
    <w:p>
      <w:pPr>
        <w:pStyle w:val="CodeEvidence"/>
      </w:pPr>
      <w:r>
        <w:t>TotpRing only draws a repeating 30-second progress ring (apps/desktop/src/widgets/totpring.cpp:11–34).</w:t>
      </w:r>
    </w:p>
    <w:p>
      <w:pPr>
        <w:pStyle w:val="CodeEvidence"/>
      </w:pPr>
      <w:r>
        <w:t>EntryDetailView displays the stored code next to that timer (entrydetailview.cpp:534–535).</w:t>
      </w:r>
    </w:p>
    <w:p>
      <w:pPr>
        <w:pStyle w:val="Heading3"/>
      </w:pPr>
      <w:r>
        <w:t>Risk and attack path</w:t>
      </w:r>
    </w:p>
    <w:p>
      <w:r>
        <w:rPr>
          <w:i w:val="0"/>
        </w:rPr>
        <w:t>Users may believe the displayed value rotates and store a current one-time code rather than the underlying seed, causing failed login or unsafe backup behavior. If the field contains a seed, displaying it as a code exposes the more powerful secret.</w:t>
      </w:r>
    </w:p>
    <w:p>
      <w:pPr>
        <w:pStyle w:val="Heading3"/>
      </w:pPr>
      <w:r>
        <w:t>Root cause</w:t>
      </w:r>
    </w:p>
    <w:p>
      <w:r>
        <w:rPr>
          <w:i w:val="0"/>
        </w:rPr>
        <w:t>Visual design was implemented without a typed data model separating TOTP seed, generated code, recovery code, and generic static code.</w:t>
      </w:r>
    </w:p>
    <w:p>
      <w:pPr>
        <w:pStyle w:val="Heading3"/>
      </w:pPr>
      <w:r>
        <w:t>KeePassXC / industry comparison</w:t>
      </w:r>
    </w:p>
    <w:p>
      <w:r>
        <w:rPr>
          <w:i w:val="0"/>
        </w:rPr>
        <w:t>KeePassXC provides actual TOTP generation and scoped Auto-Type/browser transfer. [R03]</w:t>
      </w:r>
    </w:p>
    <w:p>
      <w:pPr>
        <w:pStyle w:val="Heading3"/>
      </w:pPr>
      <w:r>
        <w:t>Required remediation</w:t>
      </w:r>
    </w:p>
    <w:p>
      <w:pPr>
        <w:pStyle w:val="ListBullet"/>
      </w:pPr>
      <w:r>
        <w:t>Remove the ring/OTP label until RFC 6238 is correctly implemented, or relabel the field as a static code.</w:t>
      </w:r>
    </w:p>
    <w:p>
      <w:pPr>
        <w:pStyle w:val="ListBullet"/>
      </w:pPr>
      <w:r>
        <w:t>Use a typed TOTP record with algorithm, digits, period, secret, issuer/account, URI parser, clock handling, and test vectors.</w:t>
      </w:r>
    </w:p>
    <w:p>
      <w:pPr>
        <w:pStyle w:val="ListBullet"/>
      </w:pPr>
      <w:r>
        <w:t>Never persist generated OTP values; protect the seed as a high-value secret and reveal/copy generated codes only briefly.</w:t>
      </w:r>
    </w:p>
    <w:p>
      <w:pPr>
        <w:pStyle w:val="Heading3"/>
      </w:pPr>
      <w:r>
        <w:t>Acceptance criteria</w:t>
      </w:r>
    </w:p>
    <w:p>
      <w:pPr>
        <w:pStyle w:val="ListBullet"/>
      </w:pPr>
      <w:r>
        <w:t>RFC 6238 vectors and boundary-time tests pass across supported algorithms/digits/periods and clock skew.</w:t>
      </w:r>
    </w:p>
    <w:p>
      <w:pPr>
        <w:pStyle w:val="ListBullet"/>
      </w:pPr>
      <w:r>
        <w:t>The UI cannot confuse seed, generated code, and recovery code; migration is explicit.</w:t>
      </w:r>
    </w:p>
    <w:p>
      <w:pPr>
        <w:pStyle w:val="ListBullet"/>
      </w:pPr>
      <w:r>
        <w:t>Lock/memory/clipboard tests cover both seed and generated code.</w:t>
      </w:r>
    </w:p>
    <w:p>
      <w:pPr>
        <w:pBdr>
          <w:bottom w:val="single" w:sz="4" w:space="6" w:color="D0D5DD"/>
        </w:pBdr>
      </w:pPr>
    </w:p>
    <w:p>
      <w:pPr>
        <w:pStyle w:val="Heading2"/>
        <w:keepNext/>
      </w:pPr>
      <w:r>
        <w:t>NL-SEC-027 — Bundled asset and image-decoder surface lacks provenance, allowlisting, and isolation</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EF0C7"/>
          </w:tcPr>
          <w:p>
            <w:pPr>
              <w:spacing w:after="40" w:line="240" w:lineRule="auto"/>
            </w:pPr>
            <w:r>
              <w:rPr>
                <w:rFonts w:ascii="Calibri" w:hAnsi="Calibri"/>
                <w:b/>
                <w:color w:val="B54708"/>
                <w:sz w:val="17"/>
              </w:rPr>
              <w:t>Medium</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for inventory gap; exploitability dependency-specific</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Assets and decoders</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CWE-1104</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Compliance blocker; P1 attack-surface reduction.</w:t>
            </w:r>
          </w:p>
        </w:tc>
      </w:tr>
    </w:tbl>
    <w:p>
      <w:pPr>
        <w:pStyle w:val="Heading3"/>
      </w:pPr>
      <w:r>
        <w:t>Observed evidence</w:t>
      </w:r>
    </w:p>
    <w:p>
      <w:pPr>
        <w:pStyle w:val="CodeEvidence"/>
      </w:pPr>
      <w:r>
        <w:t>The desktop packages all icon packs; THIRD_PARTY_NOTICES.md marks their provenance unresolved and a release blocker.</w:t>
      </w:r>
    </w:p>
    <w:p>
      <w:pPr>
        <w:pStyle w:val="CodeEvidence"/>
      </w:pPr>
      <w:r>
        <w:t>The repository contains approximately 1,825 icon files (~179 MiB), enumerated and decoded before vault unlock by standardicons.cpp:48–99 and main.cpp:66–70.</w:t>
      </w:r>
    </w:p>
    <w:p>
      <w:pPr>
        <w:pStyle w:val="CodeEvidence"/>
      </w:pPr>
      <w:r>
        <w:t>Linux packaging copies the imageformats plugin category rather than a minimal decoder allowlist (packaging/linux/make_deb.sh:24–43).</w:t>
      </w:r>
    </w:p>
    <w:p>
      <w:pPr>
        <w:pStyle w:val="Heading3"/>
      </w:pPr>
      <w:r>
        <w:t>Risk and attack path</w:t>
      </w:r>
    </w:p>
    <w:p>
      <w:r>
        <w:rPr>
          <w:i w:val="0"/>
        </w:rPr>
        <w:t>A poisoned asset or vulnerable decoder is parsed on every startup inside the future secret-bearing process. Unresolved licenses also block trustworthy redistribution and provenance claims.</w:t>
      </w:r>
    </w:p>
    <w:p>
      <w:pPr>
        <w:pStyle w:val="Heading3"/>
      </w:pPr>
      <w:r>
        <w:t>Root cause</w:t>
      </w:r>
    </w:p>
    <w:p>
      <w:r>
        <w:rPr>
          <w:i w:val="0"/>
        </w:rPr>
        <w:t>UI asset convenience and nostalgic breadth are prioritized over a minimal, hashed, reviewed input set.</w:t>
      </w:r>
    </w:p>
    <w:p>
      <w:pPr>
        <w:pStyle w:val="Heading3"/>
      </w:pPr>
      <w:r>
        <w:t>KeePassXC / industry comparison</w:t>
      </w:r>
    </w:p>
    <w:p>
      <w:r>
        <w:rPr>
          <w:i w:val="0"/>
        </w:rPr>
        <w:t>Nightlock's lack of a network stack is an advantage worth preserving; broad local decoders should not recreate an unnecessary pre-unlock attack surface.</w:t>
      </w:r>
    </w:p>
    <w:p>
      <w:pPr>
        <w:pStyle w:val="Heading3"/>
      </w:pPr>
      <w:r>
        <w:t>Required remediation</w:t>
      </w:r>
    </w:p>
    <w:p>
      <w:pPr>
        <w:pStyle w:val="ListBullet"/>
      </w:pPr>
      <w:r>
        <w:t>Resolve ownership/license/source for every shipped asset, remove unused packs/formats, and generate a reviewed hash manifest.</w:t>
      </w:r>
    </w:p>
    <w:p>
      <w:pPr>
        <w:pStyle w:val="ListBullet"/>
      </w:pPr>
      <w:r>
        <w:t>Use a small allowlist of re-encoded raster resources; defer decoding until needed and perform untrusted imports in a sandbox with size/decompression limits.</w:t>
      </w:r>
    </w:p>
    <w:p>
      <w:pPr>
        <w:pStyle w:val="ListBullet"/>
      </w:pPr>
      <w:r>
        <w:t>Verify actual plugins and assets in the final package and SBOM.</w:t>
      </w:r>
    </w:p>
    <w:p>
      <w:pPr>
        <w:pStyle w:val="Heading3"/>
      </w:pPr>
      <w:r>
        <w:t>Acceptance criteria</w:t>
      </w:r>
    </w:p>
    <w:p>
      <w:pPr>
        <w:pStyle w:val="ListBullet"/>
      </w:pPr>
      <w:r>
        <w:t>Release contains only manifest-listed assets with verified provenance and required notices.</w:t>
      </w:r>
    </w:p>
    <w:p>
      <w:pPr>
        <w:pStyle w:val="ListBullet"/>
      </w:pPr>
      <w:r>
        <w:t>Unexpected image plugins or external paths fail package validation.</w:t>
      </w:r>
    </w:p>
    <w:p>
      <w:pPr>
        <w:pStyle w:val="ListBullet"/>
      </w:pPr>
      <w:r>
        <w:t>Decoder corpus under sanitizers completes within bounded resources and cannot access vault memory.</w:t>
      </w:r>
    </w:p>
    <w:p>
      <w:pPr>
        <w:pBdr>
          <w:bottom w:val="single" w:sz="4" w:space="6" w:color="D0D5DD"/>
        </w:pBdr>
      </w:pPr>
    </w:p>
    <w:p>
      <w:pPr>
        <w:pStyle w:val="Heading2"/>
        <w:keepNext/>
      </w:pPr>
      <w:r>
        <w:t>NL-SEC-028 — Security governance has a single-person bottleneck and no stable supported release line</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FEF0C7"/>
          </w:tcPr>
          <w:p>
            <w:pPr>
              <w:spacing w:after="40" w:line="240" w:lineRule="auto"/>
            </w:pPr>
            <w:r>
              <w:rPr>
                <w:rFonts w:ascii="Calibri" w:hAnsi="Calibri"/>
                <w:b/>
                <w:color w:val="B54708"/>
                <w:sz w:val="17"/>
              </w:rPr>
              <w:t>Medium</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High — repository policy evidence; external rules unknown</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Governance and incident response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CWE-1059</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P1/P2 organizational gate.</w:t>
            </w:r>
          </w:p>
        </w:tc>
      </w:tr>
    </w:tbl>
    <w:p>
      <w:pPr>
        <w:pStyle w:val="Heading3"/>
      </w:pPr>
      <w:r>
        <w:t>Observed evidence</w:t>
      </w:r>
    </w:p>
    <w:p>
      <w:pPr>
        <w:pStyle w:val="CodeEvidence"/>
      </w:pPr>
      <w:r>
        <w:t>CODEOWNERS assigns default, security, workflow, packaging, and governance ownership to one account (.github/CODEOWNERS:1–18).</w:t>
      </w:r>
    </w:p>
    <w:p>
      <w:pPr>
        <w:pStyle w:val="CodeEvidence"/>
      </w:pPr>
      <w:r>
        <w:t>SECURITY.md states that no stable supported release line exists and fixes target main; response times are targets, not SLAs.</w:t>
      </w:r>
    </w:p>
    <w:p>
      <w:pPr>
        <w:pStyle w:val="CodeEvidence"/>
      </w:pPr>
      <w:r>
        <w:t>A private GitHub reporting path exists, which is positive, but no security contact key, CVE policy, release-support calendar, bug bounty, or signing-key incident runbook was found.</w:t>
      </w:r>
    </w:p>
    <w:p>
      <w:pPr>
        <w:pStyle w:val="Heading3"/>
      </w:pPr>
      <w:r>
        <w:t>Risk and attack path</w:t>
      </w:r>
    </w:p>
    <w:p>
      <w:r>
        <w:rPr>
          <w:i w:val="0"/>
        </w:rPr>
        <w:t>One compromised or unavailable maintainer can approve sensitive changes, tag a release, or delay an emergency response. Users cannot determine which installed version will receive a fix.</w:t>
      </w:r>
    </w:p>
    <w:p>
      <w:pPr>
        <w:pStyle w:val="Heading3"/>
      </w:pPr>
      <w:r>
        <w:t>Root cause</w:t>
      </w:r>
    </w:p>
    <w:p>
      <w:r>
        <w:rPr>
          <w:i w:val="0"/>
        </w:rPr>
        <w:t>Project maturity and staffing have not yet caught up with the trust placed in a password manager.</w:t>
      </w:r>
    </w:p>
    <w:p>
      <w:pPr>
        <w:pStyle w:val="Heading3"/>
      </w:pPr>
      <w:r>
        <w:t>KeePassXC / industry comparison</w:t>
      </w:r>
    </w:p>
    <w:p>
      <w:r>
        <w:rPr>
          <w:i w:val="0"/>
        </w:rPr>
        <w:t>KeePassXC publishes version-bound audits/certification and a mature release identity. This does not eliminate maintainer risk, but it creates external evidence and accountability. [R04, R16]</w:t>
      </w:r>
    </w:p>
    <w:p>
      <w:pPr>
        <w:pStyle w:val="Heading3"/>
      </w:pPr>
      <w:r>
        <w:t>Required remediation</w:t>
      </w:r>
    </w:p>
    <w:p>
      <w:pPr>
        <w:pStyle w:val="ListBullet"/>
      </w:pPr>
      <w:r>
        <w:t>Require two independent security/release approvers, enforced CODEOWNERS/rulesets, protected signed tags, and main-ancestry checks.</w:t>
      </w:r>
    </w:p>
    <w:p>
      <w:pPr>
        <w:pStyle w:val="ListBullet"/>
      </w:pPr>
      <w:r>
        <w:t>Publish supported versions/EOL, critical patch SLA, coordinated disclosure/CVE process, signing-key rotation/revocation, and incident/rollback playbooks.</w:t>
      </w:r>
    </w:p>
    <w:p>
      <w:pPr>
        <w:pStyle w:val="ListBullet"/>
      </w:pPr>
      <w:r>
        <w:t>Fund periodic independent review and a managed bug bounty after a stable release line exists.</w:t>
      </w:r>
    </w:p>
    <w:p>
      <w:pPr>
        <w:pStyle w:val="Heading3"/>
      </w:pPr>
      <w:r>
        <w:t>Acceptance criteria</w:t>
      </w:r>
    </w:p>
    <w:p>
      <w:pPr>
        <w:pStyle w:val="ListBullet"/>
      </w:pPr>
      <w:r>
        <w:t>Repository settings evidence confirms branch/tag protection and two-person approval for security/release paths.</w:t>
      </w:r>
    </w:p>
    <w:p>
      <w:pPr>
        <w:pStyle w:val="ListBullet"/>
      </w:pPr>
      <w:r>
        <w:t>A tabletop exercise revokes a signing key, stops a bad update, publishes an advisory, and ships a fixed supported release within target time.</w:t>
      </w:r>
    </w:p>
    <w:p>
      <w:pPr>
        <w:pStyle w:val="ListBullet"/>
      </w:pPr>
      <w:r>
        <w:t>Users can verify current support and authentic advisories without relying on one mutable channel.</w:t>
      </w:r>
    </w:p>
    <w:p>
      <w:pPr>
        <w:pBdr>
          <w:bottom w:val="single" w:sz="4" w:space="6" w:color="D0D5DD"/>
        </w:pBdr>
      </w:pPr>
    </w:p>
    <w:p>
      <w:pPr>
        <w:pStyle w:val="Heading2"/>
        <w:keepNext/>
      </w:pPr>
      <w:r>
        <w:t>NL-SEC-029 — Internal drag-and-drop serializes raw process pointers</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Severity</w:t>
            </w:r>
          </w:p>
        </w:tc>
        <w:tc>
          <w:tcPr>
            <w:tcW w:type="dxa" w:w="6840"/>
            <w:vAlign w:val="center"/>
            <w:tcMar>
              <w:top w:w="80" w:type="dxa"/>
              <w:start w:w="120" w:type="dxa"/>
              <w:bottom w:w="80" w:type="dxa"/>
              <w:end w:w="120" w:type="dxa"/>
            </w:tcMar>
            <w:shd w:fill="EAECF0"/>
          </w:tcPr>
          <w:p>
            <w:pPr>
              <w:spacing w:after="40" w:line="240" w:lineRule="auto"/>
            </w:pPr>
            <w:r>
              <w:rPr>
                <w:rFonts w:ascii="Calibri" w:hAnsi="Calibri"/>
                <w:b/>
                <w:color w:val="475467"/>
                <w:sz w:val="17"/>
              </w:rPr>
              <w:t>Low</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Confidence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Medium — code confirmed; external injection path not established</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Category</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UI integrity</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Classification</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CWE-822</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Release gate</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P2 defense-in-depth.</w:t>
            </w:r>
          </w:p>
        </w:tc>
      </w:tr>
    </w:tbl>
    <w:p>
      <w:pPr>
        <w:pStyle w:val="Heading3"/>
      </w:pPr>
      <w:r>
        <w:t>Observed evidence</w:t>
      </w:r>
    </w:p>
    <w:p>
      <w:pPr>
        <w:pStyle w:val="CodeEvidence"/>
      </w:pPr>
      <w:r>
        <w:t>Custom MIME payloads application/x-nightlock-entry and application/x-nightlock-group contain quintptr values (apps/desktop/src/models/entrylistmodel.cpp:16–25, 160–171; grouptreemodel.cpp:14–23, 150–161).</w:t>
      </w:r>
    </w:p>
    <w:p>
      <w:pPr>
        <w:pStyle w:val="CodeEvidence"/>
      </w:pPr>
      <w:r>
        <w:t>Views are configured for InternalMove, which may constrain delivery to the originating UI path.</w:t>
      </w:r>
    </w:p>
    <w:p>
      <w:pPr>
        <w:pStyle w:val="CodeEvidence"/>
      </w:pPr>
      <w:r>
        <w:t>The receiving path relies on pointer identity; an external MIME injection route was not proven in this assessment.</w:t>
      </w:r>
    </w:p>
    <w:p>
      <w:pPr>
        <w:pStyle w:val="Heading3"/>
      </w:pPr>
      <w:r>
        <w:t>Risk and attack path</w:t>
      </w:r>
    </w:p>
    <w:p>
      <w:r>
        <w:rPr>
          <w:i w:val="0"/>
        </w:rPr>
        <w:t>If crafted MIME data can reach the model on any platform, dereferencing an attacker-chosen pointer could crash or corrupt state. Outgoing drag data also discloses a process address, weakening address-space secrecy.</w:t>
      </w:r>
    </w:p>
    <w:p>
      <w:pPr>
        <w:pStyle w:val="Heading3"/>
      </w:pPr>
      <w:r>
        <w:t>Root cause</w:t>
      </w:r>
    </w:p>
    <w:p>
      <w:r>
        <w:rPr>
          <w:i w:val="0"/>
        </w:rPr>
        <w:t>In-process identity is serialized as an address rather than an opaque session identifier validated against model membership.</w:t>
      </w:r>
    </w:p>
    <w:p>
      <w:pPr>
        <w:pStyle w:val="Heading3"/>
      </w:pPr>
      <w:r>
        <w:t>KeePassXC / industry comparison</w:t>
      </w:r>
    </w:p>
    <w:p>
      <w:r>
        <w:rPr>
          <w:i w:val="0"/>
        </w:rPr>
        <w:t>This is a defense-in-depth concern, not a confirmed exploitable vulnerability. It should remain separate from the proven Critical/High findings.</w:t>
      </w:r>
    </w:p>
    <w:p>
      <w:pPr>
        <w:pStyle w:val="Heading3"/>
      </w:pPr>
      <w:r>
        <w:t>Required remediation</w:t>
      </w:r>
    </w:p>
    <w:p>
      <w:pPr>
        <w:pStyle w:val="ListBullet"/>
      </w:pPr>
      <w:r>
        <w:t>Replace pointers with per-session random opaque IDs or stable UUIDs and validate membership/state before any operation.</w:t>
      </w:r>
    </w:p>
    <w:p>
      <w:pPr>
        <w:pStyle w:val="ListBullet"/>
      </w:pPr>
      <w:r>
        <w:t>Reject the custom MIME type from external drags and other processes; avoid disclosing addresses.</w:t>
      </w:r>
    </w:p>
    <w:p>
      <w:pPr>
        <w:pStyle w:val="ListBullet"/>
      </w:pPr>
      <w:r>
        <w:t>Add platform drag/drop negative tests.</w:t>
      </w:r>
    </w:p>
    <w:p>
      <w:pPr>
        <w:pStyle w:val="Heading3"/>
      </w:pPr>
      <w:r>
        <w:t>Acceptance criteria</w:t>
      </w:r>
    </w:p>
    <w:p>
      <w:pPr>
        <w:pStyle w:val="ListBullet"/>
      </w:pPr>
      <w:r>
        <w:t>Fuzzed external MIME never dereferences unvalidated data or discloses a process address.</w:t>
      </w:r>
    </w:p>
    <w:p>
      <w:pPr>
        <w:pStyle w:val="ListBullet"/>
      </w:pPr>
      <w:r>
        <w:t>Legitimate internal moves preserve behavior across group/entry deletion and model reset.</w:t>
      </w:r>
    </w:p>
    <w:p>
      <w:r>
        <w:br w:type="page"/>
      </w:r>
    </w:p>
    <w:p>
      <w:pPr>
        <w:pStyle w:val="Heading1"/>
      </w:pPr>
      <w:r>
        <w:t>Comparative Security Assessment</w:t>
      </w:r>
    </w:p>
    <w:p>
      <w:pPr>
        <w:pStyle w:val="Heading2"/>
      </w:pPr>
      <w:r>
        <w:t>Primary Benchmark: Nightlock vs KeePassXC</w:t>
      </w:r>
    </w:p>
    <w:p>
      <w:r>
        <w:rPr>
          <w:i w:val="0"/>
        </w:rPr>
        <w:t>KeePassXC 2.7.12 is the current reference release as of the assessment date. Its public source audit (2.7.4) and ANSSI CSPN evaluation (2.7.9 on Windows 10) are version/platform-bound and do not prove that every current build is defect-free. They nevertheless provide assurance evidence Nightlock does not yet possess. [R04–R07, R17]</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40"/>
        <w:gridCol w:w="2340"/>
        <w:gridCol w:w="2340"/>
        <w:gridCol w:w="2340"/>
      </w:tblGrid>
      <w:tr>
        <w:trPr>
          <w:cantSplit/>
          <w:tblHeader w:val="true"/>
        </w:trPr>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Control domain</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Nightlock 1.2.2</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KeePassXC / KDBX</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Assessment</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Operating model</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Local, offline, small Qt Widgets app; no network found</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Local KDBX; optional browser, Auto-Type, SSH/Secret Service integrations</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Nightlock's small/no-network baseline is a real advantage to preserve.</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File cryptography</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Whole-vault XChaCha20-Poly1305; header AAD; custom v1 TLV</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KDBX 4.1 authenticated header and HMAC block stream; AES/ChaCha; extensible format</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Nightlock primitives are modern; KDBX has substantially greater maturity/interoperability.</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Key schedule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Password-derived key directly encrypts vault; no subkeys/slots</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Composite master components; transformed key; separate encryption/HMAC/block/inner protection</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KeePassXC materially stronger and more extensible.</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KDF</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Argon2id 64 MiB, t=3, p=1 fixed</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Argon2id recommended; device-time tuning around one second; advanced parameters</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Nightlock meets a published floor but not radical adaptive policy.</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Second factor</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None; Touch ID escrows the same password</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Key file + YubiKey/OnlyKey challenge-response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Major parity gap.</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Memory/lock</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Core wipes selected values; Qt retains master/selected secrets</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Protected fields, lock closes DB, audited memory behavior with documented limits</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Nightlock lock claim fails in current GUI.</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Clipboard/transfer</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Clipboard never expires; no Auto-Type/browser</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Clipboard controls plus Auto-Type and associated opt-in browser integration</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Nightlock creates both exposure and usability pressure.</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Session/capture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Manual lock only; no capture prevention</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Inactivity/session controls; screenshots blocked by default on Windows/macOS; quick unlock</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Major radical-default gap.</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Persistence/sync</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Predictable temp, one .bak, no lock/revision/merge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Safe-save options, UUID/history/tombstones, conflict/merge behavior</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Nightlock risks overwrite, replay, and old-key backup.</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Release trust</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Unsigned packages; same-job checksums; no real updater</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Authenticode, Apple Developer ID, PGP signatures/digests, package channels</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Critical release-identity gap.</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Assurance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Core tests; no external audit/fuzz/sanitizer/package gates</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Independent audit and ANSSI Security Visa for specified versions</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Nightlock must build evidence, not only features.</w:t>
            </w:r>
          </w:p>
        </w:tc>
      </w:tr>
    </w:tbl>
    <w:p>
      <w:pPr>
        <w:pStyle w:val="Heading2"/>
      </w:pPr>
      <w:r>
        <w:t>Architecture Conclusions</w:t>
      </w:r>
    </w:p>
    <w:p>
      <w:pPr>
        <w:pStyle w:val="ListBullet"/>
      </w:pPr>
      <w:r>
        <w:t>Nightlock should preserve its local-first, no-network, no-plugin, small-core posture. Copying KeePassXC's entire feature surface would add risk.</w:t>
      </w:r>
    </w:p>
    <w:p>
      <w:pPr>
        <w:pStyle w:val="ListBullet"/>
      </w:pPr>
      <w:r>
        <w:t>Nightlock should not preserve a custom format merely for identity. KDBX 4.1 compatibility through reviewed code is the fastest route to mature composite keys, structured history, and ecosystem interoperability; an NLCK v2 alternative requires comparable specification, vectors, fuzzing, and audit investment.</w:t>
      </w:r>
    </w:p>
    <w:p>
      <w:pPr>
        <w:pStyle w:val="ListBullet"/>
      </w:pPr>
      <w:r>
        <w:t>KeePassXC's memory defenses are not magical. The ANSSI evidence itself shows that input method and platform details matter. Nightlock's goal should be measured post-lock exposure, accurate boundaries, and short secret lifetimes—not an impossible promise.</w:t>
      </w:r>
    </w:p>
    <w:p>
      <w:pPr>
        <w:pStyle w:val="ListBullet"/>
      </w:pPr>
      <w:r>
        <w:t>The largest competitive deficit is assurance: signed delivery, supported releases, reproducible evidence, independent review, and years of adversarial hardening.</w:t>
      </w:r>
    </w:p>
    <w:p>
      <w:pPr>
        <w:pStyle w:val="Heading2"/>
      </w:pPr>
      <w:r>
        <w:t>Secondary Competitor Context</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72"/>
        <w:gridCol w:w="1872"/>
        <w:gridCol w:w="1872"/>
        <w:gridCol w:w="1872"/>
        <w:gridCol w:w="1872"/>
      </w:tblGrid>
      <w:tr>
        <w:trPr>
          <w:cantSplit/>
          <w:tblHeader w:val="true"/>
        </w:trPr>
        <w:tc>
          <w:tcPr>
            <w:tcW w:type="dxa" w:w="1872"/>
            <w:vAlign w:val="center"/>
            <w:tcMar>
              <w:top w:w="80" w:type="dxa"/>
              <w:start w:w="120" w:type="dxa"/>
              <w:bottom w:w="80" w:type="dxa"/>
              <w:end w:w="120" w:type="dxa"/>
            </w:tcMar>
            <w:shd w:fill="F2F4F7"/>
          </w:tcPr>
          <w:p>
            <w:pPr>
              <w:spacing w:after="40" w:line="240" w:lineRule="auto"/>
            </w:pPr>
            <w:r>
              <w:rPr>
                <w:rFonts w:ascii="Calibri" w:hAnsi="Calibri"/>
                <w:b/>
                <w:color w:val="17365D"/>
                <w:sz w:val="17"/>
              </w:rPr>
              <w:t>Product</w:t>
            </w:r>
          </w:p>
        </w:tc>
        <w:tc>
          <w:tcPr>
            <w:tcW w:type="dxa" w:w="1872"/>
            <w:vAlign w:val="center"/>
            <w:tcMar>
              <w:top w:w="80" w:type="dxa"/>
              <w:start w:w="120" w:type="dxa"/>
              <w:bottom w:w="80" w:type="dxa"/>
              <w:end w:w="120" w:type="dxa"/>
            </w:tcMar>
            <w:shd w:fill="F2F4F7"/>
          </w:tcPr>
          <w:p>
            <w:pPr>
              <w:spacing w:after="40" w:line="240" w:lineRule="auto"/>
            </w:pPr>
            <w:r>
              <w:rPr>
                <w:rFonts w:ascii="Calibri" w:hAnsi="Calibri"/>
                <w:b/>
                <w:color w:val="17365D"/>
                <w:sz w:val="17"/>
              </w:rPr>
              <w:t>Model</w:t>
            </w:r>
          </w:p>
        </w:tc>
        <w:tc>
          <w:tcPr>
            <w:tcW w:type="dxa" w:w="1872"/>
            <w:vAlign w:val="center"/>
            <w:tcMar>
              <w:top w:w="80" w:type="dxa"/>
              <w:start w:w="120" w:type="dxa"/>
              <w:bottom w:w="80" w:type="dxa"/>
              <w:end w:w="120" w:type="dxa"/>
            </w:tcMar>
            <w:shd w:fill="F2F4F7"/>
          </w:tcPr>
          <w:p>
            <w:pPr>
              <w:spacing w:after="40" w:line="240" w:lineRule="auto"/>
            </w:pPr>
            <w:r>
              <w:rPr>
                <w:rFonts w:ascii="Calibri" w:hAnsi="Calibri"/>
                <w:b/>
                <w:color w:val="17365D"/>
                <w:sz w:val="17"/>
              </w:rPr>
              <w:t>Documented key property</w:t>
            </w:r>
          </w:p>
        </w:tc>
        <w:tc>
          <w:tcPr>
            <w:tcW w:type="dxa" w:w="1872"/>
            <w:vAlign w:val="center"/>
            <w:tcMar>
              <w:top w:w="80" w:type="dxa"/>
              <w:start w:w="120" w:type="dxa"/>
              <w:bottom w:w="80" w:type="dxa"/>
              <w:end w:w="120" w:type="dxa"/>
            </w:tcMar>
            <w:shd w:fill="F2F4F7"/>
          </w:tcPr>
          <w:p>
            <w:pPr>
              <w:spacing w:after="40" w:line="240" w:lineRule="auto"/>
            </w:pPr>
            <w:r>
              <w:rPr>
                <w:rFonts w:ascii="Calibri" w:hAnsi="Calibri"/>
                <w:b/>
                <w:color w:val="17365D"/>
                <w:sz w:val="17"/>
              </w:rPr>
              <w:t>Security strength relevant to Nightlock</w:t>
            </w:r>
          </w:p>
        </w:tc>
        <w:tc>
          <w:tcPr>
            <w:tcW w:type="dxa" w:w="1872"/>
            <w:vAlign w:val="center"/>
            <w:tcMar>
              <w:top w:w="80" w:type="dxa"/>
              <w:start w:w="120" w:type="dxa"/>
              <w:bottom w:w="80" w:type="dxa"/>
              <w:end w:w="120" w:type="dxa"/>
            </w:tcMar>
            <w:shd w:fill="F2F4F7"/>
          </w:tcPr>
          <w:p>
            <w:pPr>
              <w:spacing w:after="40" w:line="240" w:lineRule="auto"/>
            </w:pPr>
            <w:r>
              <w:rPr>
                <w:rFonts w:ascii="Calibri" w:hAnsi="Calibri"/>
                <w:b/>
                <w:color w:val="17365D"/>
                <w:sz w:val="17"/>
              </w:rPr>
              <w:t>Trade-off / note</w:t>
            </w:r>
          </w:p>
        </w:tc>
      </w:tr>
      <w:tr>
        <w:trPr>
          <w:cantSplit/>
        </w:trPr>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KeePass</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Local KDBX</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Composite master key; process-memory controls; secure desktop and self-tests</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Mature local threat model and format</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Primarily Windows; plugins can add trust</w:t>
            </w:r>
          </w:p>
        </w:tc>
      </w:tr>
      <w:tr>
        <w:trPr>
          <w:cantSplit/>
        </w:trPr>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1Password</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Hosted E2EE</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Locally held Secret Key combined with account password; client-generated keys</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Two-secret resistance to captured service data; mature key hierarchy</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Network/service/account recovery boundary differs [R22]</w:t>
            </w:r>
          </w:p>
        </w:tc>
      </w:tr>
      <w:tr>
        <w:trPr>
          <w:cantSplit/>
        </w:trPr>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Bitwarden</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Hosted or self-hosted E2EE</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Random symmetric/cipher keys; Argon2id default 32 MiB, t=6, p=4</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Layered keys, broad clients, documented KDF migration</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Larger server/browser ecosystem [R21]</w:t>
            </w:r>
          </w:p>
        </w:tc>
      </w:tr>
      <w:tr>
        <w:trPr>
          <w:cantSplit/>
        </w:trPr>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Proton Pass</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Hosted E2EE</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Random 32-byte vault key, AES-256-GCM, Curve25519/OpenPGP wrapping; metadata encrypted</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Vault-key separation and encrypted metadata</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Network/service identity boundary [R23]</w:t>
            </w:r>
          </w:p>
        </w:tc>
      </w:tr>
      <w:tr>
        <w:trPr>
          <w:cantSplit/>
        </w:trPr>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Nightlock</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Local NLCK</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Direct password-derived XChaCha key; no network</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Small auditable core and modern AEAD</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Immature lifecycle, factors, delivery, and assurance</w:t>
            </w:r>
          </w:p>
        </w:tc>
      </w:tr>
    </w:tbl>
    <w:p>
      <w:r>
        <w:rPr>
          <w:i/>
          <w:color w:val="667085"/>
        </w:rPr>
        <w:t>Vendor white papers are architecture claims, not equivalent assurance. They are used only to identify design patterns Nightlock should evaluate; KeePassXC remains the primary local/offline benchmark.</w:t>
      </w:r>
    </w:p>
    <w:p>
      <w:r>
        <w:br w:type="page"/>
      </w:r>
    </w:p>
    <w:p>
      <w:pPr>
        <w:pStyle w:val="Heading1"/>
      </w:pPr>
      <w:r>
        <w:t>Target Radical-Default Architecture</w:t>
      </w:r>
    </w:p>
    <w:p>
      <w:r>
        <w:drawing>
          <wp:inline xmlns:a="http://schemas.openxmlformats.org/drawingml/2006/main" xmlns:pic="http://schemas.openxmlformats.org/drawingml/2006/picture">
            <wp:extent cx="5852160" cy="3803904"/>
            <wp:docPr id="3" name="Picture 3" descr="Diagram of target architecture: constrained UI and safe transfer surround an isolated vault broker; unlock slots feed a reviewed versioned format which writes through hardened durable storage and signed release controls." title="Diagram of target architecture: constrained UI and safe transfer surround an iso"/>
            <wp:cNvGraphicFramePr>
              <a:graphicFrameLocks noChangeAspect="1"/>
            </wp:cNvGraphicFramePr>
            <a:graphic>
              <a:graphicData uri="http://schemas.openxmlformats.org/drawingml/2006/picture">
                <pic:pic>
                  <pic:nvPicPr>
                    <pic:cNvPr id="0" name="target_architecture.png"/>
                    <pic:cNvPicPr/>
                  </pic:nvPicPr>
                  <pic:blipFill>
                    <a:blip r:embed="rId13"/>
                    <a:stretch>
                      <a:fillRect/>
                    </a:stretch>
                  </pic:blipFill>
                  <pic:spPr>
                    <a:xfrm>
                      <a:off x="0" y="0"/>
                      <a:ext cx="5852160" cy="3803904"/>
                    </a:xfrm>
                    <a:prstGeom prst="rect"/>
                  </pic:spPr>
                </pic:pic>
              </a:graphicData>
            </a:graphic>
          </wp:inline>
        </w:drawing>
      </w:r>
    </w:p>
    <w:p>
      <w:pPr>
        <w:pStyle w:val="Caption"/>
      </w:pPr>
      <w:r>
        <w:t>Figure 3. Proposed architecture separates secret ownership, unlock methods, storage, transfer, and release authority.</w:t>
      </w:r>
    </w:p>
    <w:p>
      <w:pPr>
        <w:pStyle w:val="Heading2"/>
      </w:pPr>
      <w:r>
        <w:t>Security Invariants</w:t>
      </w:r>
    </w:p>
    <w:p>
      <w:pPr>
        <w:numPr>
          <w:ilvl w:val="0"/>
          <w:numId w:val="12"/>
        </w:numPr>
        <w:spacing w:after="160" w:line="280" w:lineRule="auto"/>
      </w:pPr>
      <w:r>
        <w:t>A lock operation destroys every application-owned plaintext and key copy that the defined platform permits Nightlock to destroy; no hidden widget remains authoritative.</w:t>
      </w:r>
    </w:p>
    <w:p>
      <w:pPr>
        <w:numPr>
          <w:ilvl w:val="0"/>
          <w:numId w:val="12"/>
        </w:numPr>
        <w:spacing w:after="160" w:line="280" w:lineRule="auto"/>
      </w:pPr>
      <w:r>
        <w:t>A password is never the content-encryption key and is never stored for convenience. It unlocks a random vault root key through a versioned slot.</w:t>
      </w:r>
    </w:p>
    <w:p>
      <w:pPr>
        <w:numPr>
          <w:ilvl w:val="0"/>
          <w:numId w:val="12"/>
        </w:numPr>
        <w:spacing w:after="160" w:line="280" w:lineRule="auto"/>
      </w:pPr>
      <w:r>
        <w:t>Every persisted byte is authenticated or explicitly documented as public unlock metadata; resource use is bounded before expensive work.</w:t>
      </w:r>
    </w:p>
    <w:p>
      <w:pPr>
        <w:numPr>
          <w:ilvl w:val="0"/>
          <w:numId w:val="12"/>
        </w:numPr>
        <w:spacing w:after="160" w:line="280" w:lineRule="auto"/>
      </w:pPr>
      <w:r>
        <w:t>Every managed backup, recovery file, quick-unlock slot, and conflict copy is bound to vault UUID and key epoch with explicit rekey semantics.</w:t>
      </w:r>
    </w:p>
    <w:p>
      <w:pPr>
        <w:numPr>
          <w:ilvl w:val="0"/>
          <w:numId w:val="12"/>
        </w:numPr>
        <w:spacing w:after="160" w:line="280" w:lineRule="auto"/>
      </w:pPr>
      <w:r>
        <w:t>A save cannot follow attacker-controlled links, silently overwrite a changed vault, silently lose edits, or create broader permissions.</w:t>
      </w:r>
    </w:p>
    <w:p>
      <w:pPr>
        <w:numPr>
          <w:ilvl w:val="0"/>
          <w:numId w:val="12"/>
        </w:numPr>
        <w:spacing w:after="160" w:line="280" w:lineRule="auto"/>
      </w:pPr>
      <w:r>
        <w:t>Secrets move to another application only through a central policy: origin-bound integration, reviewed Auto-Type, or short owned clipboard.</w:t>
      </w:r>
    </w:p>
    <w:p>
      <w:pPr>
        <w:numPr>
          <w:ilvl w:val="0"/>
          <w:numId w:val="12"/>
        </w:numPr>
        <w:spacing w:after="160" w:line="280" w:lineRule="auto"/>
      </w:pPr>
      <w:r>
        <w:t>The binary users run is authenticated to the Nightlock publisher and traceable to reviewed source/build inputs.</w:t>
      </w:r>
    </w:p>
    <w:p>
      <w:pPr>
        <w:numPr>
          <w:ilvl w:val="0"/>
          <w:numId w:val="12"/>
        </w:numPr>
        <w:spacing w:after="160" w:line="280" w:lineRule="auto"/>
      </w:pPr>
      <w:r>
        <w:t>Any relaxation from the strict profile is explicit, explained, bounded, visible, and reversible.</w:t>
      </w:r>
    </w:p>
    <w:p>
      <w:pPr>
        <w:pStyle w:val="Heading2"/>
      </w:pPr>
      <w:r>
        <w:t>Key and Format Design</w:t>
      </w:r>
    </w:p>
    <w:p>
      <w:pPr>
        <w:pStyle w:val="ListBullet"/>
      </w:pPr>
      <w:r>
        <w:t>Vault root key (VRK): 256 random bits generated locally. Unlock slots wrap it under passphrase, key file, hardware token, or OS device key. Slots are independently versioned and removable.</w:t>
      </w:r>
    </w:p>
    <w:p>
      <w:pPr>
        <w:pStyle w:val="ListBullet"/>
      </w:pPr>
      <w:r>
        <w:t>Passphrase slot: calibrated Argon2id -&gt; key-encryption key; authenticated parameters; explicit resource ceilings and safe migration. Combine true factors with a reviewed construction, not string concatenation.</w:t>
      </w:r>
    </w:p>
    <w:p>
      <w:pPr>
        <w:pStyle w:val="ListBullet"/>
      </w:pPr>
      <w:r>
        <w:t>Per-save keying: derive or generate a fresh data-encryption key, use labeled context-separated keys for envelope/data/revision, and rotate according to documented backup/revocation goals.</w:t>
      </w:r>
    </w:p>
    <w:p>
      <w:pPr>
        <w:pStyle w:val="ListBullet"/>
      </w:pPr>
      <w:r>
        <w:t>Envelope: vault UUID, format version, cipher/KDF identifiers, slots, key epoch, authenticated revision, nonce, ciphertext length, and optional public display name with explicit privacy warning.</w:t>
      </w:r>
    </w:p>
    <w:p>
      <w:pPr>
        <w:pStyle w:val="ListBullet"/>
      </w:pPr>
      <w:r>
        <w:t>Payload: stable group/entry UUIDs, typed fields, timestamps, tombstones/history, strict limits, forward-compatible unknown-field rules, and no unauthenticated executable/resource paths.</w:t>
      </w:r>
    </w:p>
    <w:p>
      <w:pPr>
        <w:pStyle w:val="ListBullet"/>
      </w:pPr>
      <w:r>
        <w:t>Migration: one-way copy to a new file, verified round-trip and rollback path; keep the original encrypted file until the user confirms and then manage it under explicit retention policy.</w:t>
      </w:r>
    </w:p>
    <w:p>
      <w:pPr>
        <w:pStyle w:val="Heading2"/>
      </w:pPr>
      <w:r>
        <w:t>Process and Platform Design</w:t>
      </w:r>
    </w:p>
    <w:p>
      <w:pPr>
        <w:pStyle w:val="ListBullet"/>
      </w:pPr>
      <w:r>
        <w:t>Small broker process owns keys and decrypted records, disables dumps, has no network/image/browser plugin surface, and exposes a narrow authenticated local protocol.</w:t>
      </w:r>
    </w:p>
    <w:p>
      <w:pPr>
        <w:pStyle w:val="ListBullet"/>
      </w:pPr>
      <w:r>
        <w:t>GUI receives metadata by default and a short-lived capability for a requested secret. A compromised GUI is still dangerous, but cannot scrape an entire persistent plaintext tree without making observable broker requests.</w:t>
      </w:r>
    </w:p>
    <w:p>
      <w:pPr>
        <w:pStyle w:val="ListBullet"/>
      </w:pPr>
      <w:r>
        <w:t>OS-bound device slots require publisher-signed code and OS-enforced user presence; they wrap random material and fail closed on entitlement or policy changes.</w:t>
      </w:r>
    </w:p>
    <w:p>
      <w:pPr>
        <w:pStyle w:val="ListBullet"/>
      </w:pPr>
      <w:r>
        <w:t>Browser integration is opt-in and origin-bound with per-entry allow/deny state, authenticated native messaging, minimal response data, and per-request user control. Auto-Type remains available for non-browser targets.</w:t>
      </w:r>
    </w:p>
    <w:p>
      <w:pPr>
        <w:pStyle w:val="ListBullet"/>
      </w:pPr>
      <w:r>
        <w:t>Update/network activity runs in a separate least-privilege helper that cannot access broker memory or vault files and only delivers verified packages/metadata.</w:t>
      </w:r>
    </w:p>
    <w:p>
      <w:pPr>
        <w:pStyle w:val="Heading2"/>
      </w:pPr>
      <w:r>
        <w:t>Default Security Profiles</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40"/>
        <w:gridCol w:w="2340"/>
        <w:gridCol w:w="2340"/>
        <w:gridCol w:w="2340"/>
      </w:tblGrid>
      <w:tr>
        <w:trPr>
          <w:cantSplit/>
          <w:tblHeader w:val="true"/>
        </w:trPr>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Control</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Radical — default</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Strong</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Convenience — explicit relaxation</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Idle/session lock</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60 s; immediate OS lock/suspend; background/minimize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5–10 min; OS lock/suspend</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User-selected longer period; warning</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Reveal/export</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Reauth for seeds/export/security; timed hold-to-reveal</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Reauth for seeds/export</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Reauth optional for passwords only</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Clipboard</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10 s; clear on lock/exit; seed copy disabled</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15–30 s; clear on lock</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Longer user-selected timeout with warning</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Screen capture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Blocked; timed explicit exception</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Blocked; explicit exception</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User may persistently allow with visible status</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KDF</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Calibrated 1.5–2 s, &gt;=256 MiB when viable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Calibrated ~1 s, &gt;=128 MiB when viable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Compatibility floor, explicit risk</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Unlock factors</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Strong passphrase + possession factor recommended/required</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Strong passphrase; optional factor</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Strong passphrase; OS quick unlock</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Network</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Broker none; signed updater helper manual notify</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Same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Same—verification never relaxed</w:t>
            </w:r>
          </w:p>
        </w:tc>
      </w:tr>
    </w:tbl>
    <w:p>
      <w:r>
        <w:br w:type="page"/>
      </w:r>
    </w:p>
    <w:p>
      <w:pPr>
        <w:pStyle w:val="Heading1"/>
      </w:pPr>
      <w:r>
        <w:t>Remediation Program and Release Gates</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tblHeader w:val="true"/>
        </w:trPr>
        <w:tc>
          <w:tcPr>
            <w:tcW w:type="dxa" w:w="9360"/>
            <w:vAlign w:val="center"/>
            <w:tcMar>
              <w:top w:w="80" w:type="dxa"/>
              <w:start w:w="120" w:type="dxa"/>
              <w:bottom w:w="80" w:type="dxa"/>
              <w:end w:w="120" w:type="dxa"/>
            </w:tcMar>
            <w:shd w:fill="FEF0C7"/>
          </w:tcPr>
          <w:p>
            <w:pPr>
              <w:spacing w:after="80" w:line="240" w:lineRule="auto"/>
            </w:pPr>
            <w:r>
              <w:rPr>
                <w:b/>
                <w:color w:val="B54708"/>
              </w:rPr>
              <w:t>Program principle</w:t>
              <w:br/>
            </w:r>
            <w:r>
              <w:rPr>
                <w:color w:val="101828"/>
              </w:rPr>
              <w:t>Do not add browser sync, cloud, sharing, or broader format features until the P0 containment and P1 trustworthy-release baseline is closed. A small secure product is preferable to a feature-complete unsafe one.</w:t>
            </w:r>
          </w:p>
        </w:tc>
      </w:tr>
    </w:tbl>
    <w:p>
      <w:pPr>
        <w:spacing w:after="0"/>
      </w:pP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72"/>
        <w:gridCol w:w="1872"/>
        <w:gridCol w:w="1872"/>
        <w:gridCol w:w="1872"/>
        <w:gridCol w:w="1872"/>
      </w:tblGrid>
      <w:tr>
        <w:trPr>
          <w:cantSplit/>
          <w:tblHeader w:val="true"/>
        </w:trPr>
        <w:tc>
          <w:tcPr>
            <w:tcW w:type="dxa" w:w="1872"/>
            <w:vAlign w:val="center"/>
            <w:tcMar>
              <w:top w:w="80" w:type="dxa"/>
              <w:start w:w="120" w:type="dxa"/>
              <w:bottom w:w="80" w:type="dxa"/>
              <w:end w:w="120" w:type="dxa"/>
            </w:tcMar>
            <w:shd w:fill="F2F4F7"/>
          </w:tcPr>
          <w:p>
            <w:pPr>
              <w:spacing w:after="40" w:line="240" w:lineRule="auto"/>
            </w:pPr>
            <w:r>
              <w:rPr>
                <w:rFonts w:ascii="Calibri" w:hAnsi="Calibri"/>
                <w:b/>
                <w:color w:val="17365D"/>
                <w:sz w:val="17"/>
              </w:rPr>
              <w:t>Phase</w:t>
            </w:r>
          </w:p>
        </w:tc>
        <w:tc>
          <w:tcPr>
            <w:tcW w:type="dxa" w:w="1872"/>
            <w:vAlign w:val="center"/>
            <w:tcMar>
              <w:top w:w="80" w:type="dxa"/>
              <w:start w:w="120" w:type="dxa"/>
              <w:bottom w:w="80" w:type="dxa"/>
              <w:end w:w="120" w:type="dxa"/>
            </w:tcMar>
            <w:shd w:fill="F2F4F7"/>
          </w:tcPr>
          <w:p>
            <w:pPr>
              <w:spacing w:after="40" w:line="240" w:lineRule="auto"/>
            </w:pPr>
            <w:r>
              <w:rPr>
                <w:rFonts w:ascii="Calibri" w:hAnsi="Calibri"/>
                <w:b/>
                <w:color w:val="17365D"/>
                <w:sz w:val="17"/>
              </w:rPr>
              <w:t>Target</w:t>
            </w:r>
          </w:p>
        </w:tc>
        <w:tc>
          <w:tcPr>
            <w:tcW w:type="dxa" w:w="1872"/>
            <w:vAlign w:val="center"/>
            <w:tcMar>
              <w:top w:w="80" w:type="dxa"/>
              <w:start w:w="120" w:type="dxa"/>
              <w:bottom w:w="80" w:type="dxa"/>
              <w:end w:w="120" w:type="dxa"/>
            </w:tcMar>
            <w:shd w:fill="F2F4F7"/>
          </w:tcPr>
          <w:p>
            <w:pPr>
              <w:spacing w:after="40" w:line="240" w:lineRule="auto"/>
            </w:pPr>
            <w:r>
              <w:rPr>
                <w:rFonts w:ascii="Calibri" w:hAnsi="Calibri"/>
                <w:b/>
                <w:color w:val="17365D"/>
                <w:sz w:val="17"/>
              </w:rPr>
              <w:t>Required outcomes</w:t>
            </w:r>
          </w:p>
        </w:tc>
        <w:tc>
          <w:tcPr>
            <w:tcW w:type="dxa" w:w="1872"/>
            <w:vAlign w:val="center"/>
            <w:tcMar>
              <w:top w:w="80" w:type="dxa"/>
              <w:start w:w="120" w:type="dxa"/>
              <w:bottom w:w="80" w:type="dxa"/>
              <w:end w:w="120" w:type="dxa"/>
            </w:tcMar>
            <w:shd w:fill="F2F4F7"/>
          </w:tcPr>
          <w:p>
            <w:pPr>
              <w:spacing w:after="40" w:line="240" w:lineRule="auto"/>
            </w:pPr>
            <w:r>
              <w:rPr>
                <w:rFonts w:ascii="Calibri" w:hAnsi="Calibri"/>
                <w:b/>
                <w:color w:val="17365D"/>
                <w:sz w:val="17"/>
              </w:rPr>
              <w:t>Exit evidence</w:t>
            </w:r>
          </w:p>
        </w:tc>
        <w:tc>
          <w:tcPr>
            <w:tcW w:type="dxa" w:w="1872"/>
            <w:vAlign w:val="center"/>
            <w:tcMar>
              <w:top w:w="80" w:type="dxa"/>
              <w:start w:w="120" w:type="dxa"/>
              <w:bottom w:w="80" w:type="dxa"/>
              <w:end w:w="120" w:type="dxa"/>
            </w:tcMar>
            <w:shd w:fill="F2F4F7"/>
          </w:tcPr>
          <w:p>
            <w:pPr>
              <w:spacing w:after="40" w:line="240" w:lineRule="auto"/>
            </w:pPr>
            <w:r>
              <w:rPr>
                <w:rFonts w:ascii="Calibri" w:hAnsi="Calibri"/>
                <w:b/>
                <w:color w:val="17365D"/>
                <w:sz w:val="17"/>
              </w:rPr>
              <w:t>Claim allowed</w:t>
            </w:r>
          </w:p>
        </w:tc>
      </w:tr>
      <w:tr>
        <w:trPr>
          <w:cantSplit/>
        </w:trPr>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P0 — Contain</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0–30 days</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NL-SEC-001–007, 010–017, 021 immediate fixes; patch Qt; remove hooks/updater UI; stop unsigned release</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Regression tests, synthetic PoCs fail, no secret after lock, signed release plan</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Development preview only</w:t>
            </w:r>
          </w:p>
        </w:tc>
      </w:tr>
      <w:tr>
        <w:trPr>
          <w:cantSplit/>
        </w:trPr>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P1 — Trustworthy baseline</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1–3 months</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Auto-lock/reauth, hardened persistence/concurrency/limits, signed packages, CI pins/SBOM/provenance, platform hardening, security test gates</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Clean-VM package tests; verified signatures; fuzz/sanitizer gates; support policy</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Security beta after all Critical/High P0 closed</w:t>
            </w:r>
          </w:p>
        </w:tc>
      </w:tr>
      <w:tr>
        <w:trPr>
          <w:cantSplit/>
        </w:trPr>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P2 — Architecture</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3–6 months</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Reviewed v2/KDBX decision, random key hierarchy, composite slots, isolated broker, rollback/history, safe transfer</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Specification, vectors, migration, threat model, formal design review</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Release candidate; no parity claim</w:t>
            </w:r>
          </w:p>
        </w:tc>
      </w:tr>
      <w:tr>
        <w:trPr>
          <w:cantSplit/>
        </w:trPr>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P3 — Independent assurance</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6–9 months</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Third-party source/architecture/crypto audit and remediation; reproducible/attested releases; incident exercise</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Public version-bound report, closed findings, final artifact retest</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KeePassXC-class claim only if evidence supports it</w:t>
            </w:r>
          </w:p>
        </w:tc>
      </w:tr>
      <w:tr>
        <w:trPr>
          <w:cantSplit/>
        </w:trPr>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P4 — Sustain</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Ongoing</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Patch SLA, dependency response, bug bounty, annual review, supported lines/EOL, key rotation drills</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Measured response, repeat audits, verified release continuity</w:t>
            </w:r>
          </w:p>
        </w:tc>
        <w:tc>
          <w:tcPr>
            <w:tcW w:type="dxa" w:w="1872"/>
            <w:vAlign w:val="center"/>
            <w:tcMar>
              <w:top w:w="80" w:type="dxa"/>
              <w:start w:w="120" w:type="dxa"/>
              <w:bottom w:w="80" w:type="dxa"/>
              <w:end w:w="120" w:type="dxa"/>
            </w:tcMar>
          </w:tcPr>
          <w:p>
            <w:pPr>
              <w:spacing w:after="40" w:line="240" w:lineRule="auto"/>
            </w:pPr>
            <w:r>
              <w:rPr>
                <w:rFonts w:ascii="Calibri" w:hAnsi="Calibri"/>
                <w:color w:val="101828"/>
                <w:sz w:val="17"/>
              </w:rPr>
              <w:t>Evidence-based, scoped security claims</w:t>
            </w:r>
          </w:p>
        </w:tc>
      </w:tr>
    </w:tbl>
    <w:p>
      <w:pPr>
        <w:pStyle w:val="Heading2"/>
      </w:pPr>
      <w:r>
        <w:t>P0 Engineering Workstreams</w:t>
      </w:r>
    </w:p>
    <w:p>
      <w:r>
        <w:rPr>
          <w:b/>
        </w:rPr>
        <w:t>Secret lifecycle:</w:t>
      </w:r>
      <w:r>
        <w:t xml:space="preserve"> Purge/destroy Qt secret holders and master field; mask editors; central clipboard; session lock; screen protection; reauth.</w:t>
      </w:r>
    </w:p>
    <w:p>
      <w:r>
        <w:rPr>
          <w:b/>
        </w:rPr>
        <w:t>Persistence:</w:t>
      </w:r>
      <w:r>
        <w:t xml:space="preserve"> No-follow random temp; restrictive metadata; rekey-aware backup; save-failure recovery; writer lock/conflict; input caps.</w:t>
      </w:r>
    </w:p>
    <w:p>
      <w:r>
        <w:rPr>
          <w:b/>
        </w:rPr>
        <w:t>Platform:</w:t>
      </w:r>
      <w:r>
        <w:t xml:space="preserve"> Remove release hooks; disable legacy Touch ID; patch Qt; restrict icon paths/decoders; no-dump behavior.</w:t>
      </w:r>
    </w:p>
    <w:p>
      <w:r>
        <w:rPr>
          <w:b/>
        </w:rPr>
        <w:t>Release:</w:t>
      </w:r>
      <w:r>
        <w:t xml:space="preserve"> Remove fake updater; sign/notarize; pin inputs; least privilege; protected tags/environment; SBOM/provenance.</w:t>
      </w:r>
    </w:p>
    <w:p>
      <w:r>
        <w:rPr>
          <w:b/>
        </w:rPr>
        <w:t>Assurance:</w:t>
      </w:r>
      <w:r>
        <w:t xml:space="preserve"> Memory/clipboard/session GUI tests, fault injection, fuzzing, ASan/UBSan/static analysis, final-package tests.</w:t>
      </w:r>
    </w:p>
    <w:p>
      <w:pPr>
        <w:pStyle w:val="Heading2"/>
      </w:pPr>
      <w:r>
        <w:t>Mandatory Release Checklist</w:t>
      </w:r>
    </w:p>
    <w:p>
      <w:pPr>
        <w:pStyle w:val="ListBullet"/>
      </w:pPr>
      <w:r>
        <w:t>Zero open Critical findings; every High has an owner, verified fix, regression, and documented residual risk accepted by two reviewers.</w:t>
      </w:r>
    </w:p>
    <w:p>
      <w:pPr>
        <w:pStyle w:val="ListBullet"/>
      </w:pPr>
      <w:r>
        <w:t>No master or selected secret sentinel found after lock in supported platform memory tests; clipboard and screen policies verified.</w:t>
      </w:r>
    </w:p>
    <w:p>
      <w:pPr>
        <w:pStyle w:val="ListBullet"/>
      </w:pPr>
      <w:r>
        <w:t>Old password cannot open any managed backup after rekey; symlink/reparse/concurrency/fault tests pass.</w:t>
      </w:r>
    </w:p>
    <w:p>
      <w:pPr>
        <w:pStyle w:val="ListBullet"/>
      </w:pPr>
      <w:r>
        <w:t>Final package contains patched dependency versions, no test hooks, only allowlisted plugins/assets, and required licenses/notices.</w:t>
      </w:r>
    </w:p>
    <w:p>
      <w:pPr>
        <w:pStyle w:val="ListBullet"/>
      </w:pPr>
      <w:r>
        <w:t>Windows/macOS/Linux artifacts pass publisher signature verification; macOS passes notarization/hardened-runtime checks.</w:t>
      </w:r>
    </w:p>
    <w:p>
      <w:pPr>
        <w:pStyle w:val="ListBullet"/>
      </w:pPr>
      <w:r>
        <w:t>SBOM and provenance match final digest; CI inputs are pinned; release requires protected two-person approval.</w:t>
      </w:r>
    </w:p>
    <w:p>
      <w:pPr>
        <w:pStyle w:val="ListBullet"/>
      </w:pPr>
      <w:r>
        <w:t>Threat model, support/EOL, private disclosure, update/manual verification, backup, and recovery documentation match actual behavior.</w:t>
      </w:r>
    </w:p>
    <w:p>
      <w:pPr>
        <w:pStyle w:val="ListBullet"/>
      </w:pPr>
      <w:r>
        <w:t>Independent review is complete before a high-assurance or KeePass-parity marketing statement.</w:t>
      </w:r>
    </w:p>
    <w:p>
      <w:r>
        <w:br w:type="page"/>
      </w:r>
    </w:p>
    <w:p>
      <w:pPr>
        <w:pStyle w:val="Heading1"/>
      </w:pPr>
      <w:r>
        <w:t>Appendix A — Reproduction and Test Evidence</w:t>
      </w:r>
    </w:p>
    <w:p>
      <w:pPr>
        <w:pStyle w:val="Heading2"/>
      </w:pPr>
      <w:r>
        <w:t>Synthetic Test: Old-Password Backup</w:t>
      </w:r>
    </w:p>
    <w:p>
      <w:pPr>
        <w:pStyle w:val="CodeEvidence"/>
      </w:pPr>
      <w:r>
        <w:t>1. Create a synthetic vault with password synthetic-master-password.</w:t>
        <w:br/>
        <w:t>2. Change password to new-synthetic-master-password.</w:t>
        <w:br/>
        <w:t>3. Open current .nlck with new password: success.</w:t>
        <w:br/>
        <w:t>4. Open managed .nlck.bak with old password: success; output includes vault/.</w:t>
        <w:br/>
        <w:t>Result: NL-SEC-004 confirmed without real data.</w:t>
      </w:r>
    </w:p>
    <w:p>
      <w:pPr>
        <w:pStyle w:val="Heading2"/>
      </w:pPr>
      <w:r>
        <w:t>Synthetic Test: Predictable Temporary Symlink</w:t>
      </w:r>
    </w:p>
    <w:p>
      <w:pPr>
        <w:pStyle w:val="CodeEvidence"/>
      </w:pPr>
      <w:r>
        <w:t>1. Create isolated mode-0700 temporary directory and same-user synthetic victim.</w:t>
        <w:br/>
        <w:t>2. Precreate vault.nlck.tmp as symlink to victim.</w:t>
        <w:br/>
        <w:t>3. Run nightlock init against vault.nlck.</w:t>
        <w:br/>
        <w:t>4. victim becomes a 150-byte NLCK image and retains -rw-r--r-- permissions.</w:t>
        <w:br/>
        <w:t>5. Subsequent backup rotation preserves surprising symlink aliasing.</w:t>
        <w:br/>
        <w:t>Result: NL-SEC-010 confirmed on the assessed POSIX/macOS environment.</w:t>
      </w:r>
    </w:p>
    <w:p>
      <w:pPr>
        <w:pStyle w:val="Heading2"/>
      </w:pPr>
      <w:r>
        <w:t>Automated Tests</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40"/>
        <w:gridCol w:w="2340"/>
        <w:gridCol w:w="2340"/>
        <w:gridCol w:w="2340"/>
      </w:tblGrid>
      <w:tr>
        <w:trPr>
          <w:cantSplit/>
          <w:tblHeader w:val="true"/>
        </w:trPr>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Run</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Scope</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Result</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Interpretation</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Existing Release ctest</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Core unit tests + CLI smoke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2/2 passed</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Positive functional baseline; does not cover GUI/platform/package controls.</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Debug ASan+UBSan ctest</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Core + CLI, desktop disabled</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2/2 passed; no sanitizer report</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Useful but narrow; not evidence that Qt/platform paths are memory safe.</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Source/security trace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Core, desktop, CLI, persistence, workflows</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29 consolidated findings</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Architecture and lifecycle failures dominate primitive-level crypto risk.</w:t>
            </w:r>
          </w:p>
        </w:tc>
      </w:tr>
    </w:tbl>
    <w:p>
      <w:r>
        <w:br w:type="page"/>
      </w:r>
    </w:p>
    <w:p>
      <w:pPr>
        <w:pStyle w:val="Heading1"/>
      </w:pPr>
      <w:r>
        <w:t>Appendix B — Control-Domain Scorecard</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40"/>
        <w:gridCol w:w="2340"/>
        <w:gridCol w:w="2340"/>
        <w:gridCol w:w="2340"/>
      </w:tblGrid>
      <w:tr>
        <w:trPr>
          <w:cantSplit/>
          <w:tblHeader w:val="true"/>
        </w:trPr>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Domain</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Current state</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Target state</w:t>
            </w:r>
          </w:p>
        </w:tc>
        <w:tc>
          <w:tcPr>
            <w:tcW w:type="dxa" w:w="2340"/>
            <w:vAlign w:val="center"/>
            <w:tcMar>
              <w:top w:w="80" w:type="dxa"/>
              <w:start w:w="120" w:type="dxa"/>
              <w:bottom w:w="80" w:type="dxa"/>
              <w:end w:w="120" w:type="dxa"/>
            </w:tcMar>
            <w:shd w:fill="F2F4F7"/>
          </w:tcPr>
          <w:p>
            <w:pPr>
              <w:spacing w:after="40" w:line="240" w:lineRule="auto"/>
            </w:pPr>
            <w:r>
              <w:rPr>
                <w:rFonts w:ascii="Calibri" w:hAnsi="Calibri"/>
                <w:b/>
                <w:color w:val="17365D"/>
                <w:sz w:val="17"/>
              </w:rPr>
              <w:t>Priority</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Cryptographic primitives</w:t>
            </w:r>
          </w:p>
        </w:tc>
        <w:tc>
          <w:tcPr>
            <w:tcW w:type="dxa" w:w="2340"/>
            <w:shd w:fill="D1FADF"/>
            <w:vAlign w:val="center"/>
            <w:tcMar>
              <w:top w:w="80" w:type="dxa"/>
              <w:start w:w="120" w:type="dxa"/>
              <w:bottom w:w="80" w:type="dxa"/>
              <w:end w:w="120" w:type="dxa"/>
            </w:tcMar>
          </w:tcPr>
          <w:p>
            <w:pPr>
              <w:spacing w:after="40" w:line="240" w:lineRule="auto"/>
            </w:pPr>
            <w:r>
              <w:rPr>
                <w:rFonts w:ascii="Calibri" w:hAnsi="Calibri"/>
                <w:color w:val="101828"/>
                <w:sz w:val="17"/>
              </w:rPr>
              <w:t>GOOD FOUNDATION</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Preserve; add reviewed hierarchy/separation</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P2</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Key lifecycle and factors</w:t>
            </w:r>
          </w:p>
        </w:tc>
        <w:tc>
          <w:tcPr>
            <w:tcW w:type="dxa" w:w="2340"/>
            <w:shd w:fill="FEF0C7"/>
            <w:vAlign w:val="center"/>
            <w:tcMar>
              <w:top w:w="80" w:type="dxa"/>
              <w:start w:w="120" w:type="dxa"/>
              <w:bottom w:w="80" w:type="dxa"/>
              <w:end w:w="120" w:type="dxa"/>
            </w:tcMar>
          </w:tcPr>
          <w:p>
            <w:pPr>
              <w:spacing w:after="40" w:line="240" w:lineRule="auto"/>
            </w:pPr>
            <w:r>
              <w:rPr>
                <w:rFonts w:ascii="Calibri" w:hAnsi="Calibri"/>
                <w:color w:val="101828"/>
                <w:sz w:val="17"/>
              </w:rPr>
              <w:t>WEAK</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Random VRK/DEK, slots, composite factors, epochs</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P0/P2</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Runtime secret handling</w:t>
            </w:r>
          </w:p>
        </w:tc>
        <w:tc>
          <w:tcPr>
            <w:tcW w:type="dxa" w:w="2340"/>
            <w:shd w:fill="FEE4E2"/>
            <w:vAlign w:val="center"/>
            <w:tcMar>
              <w:top w:w="80" w:type="dxa"/>
              <w:start w:w="120" w:type="dxa"/>
              <w:bottom w:w="80" w:type="dxa"/>
              <w:end w:w="120" w:type="dxa"/>
            </w:tcMar>
          </w:tcPr>
          <w:p>
            <w:pPr>
              <w:spacing w:after="40" w:line="240" w:lineRule="auto"/>
            </w:pPr>
            <w:r>
              <w:rPr>
                <w:rFonts w:ascii="Calibri" w:hAnsi="Calibri"/>
                <w:color w:val="101828"/>
                <w:sz w:val="17"/>
              </w:rPr>
              <w:t>UNACCEPTABLE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Broker isolation, deterministic purge, memory tests</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P0</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Session/clipboard/screen</w:t>
            </w:r>
          </w:p>
        </w:tc>
        <w:tc>
          <w:tcPr>
            <w:tcW w:type="dxa" w:w="2340"/>
            <w:shd w:fill="FEF0C7"/>
            <w:vAlign w:val="center"/>
            <w:tcMar>
              <w:top w:w="80" w:type="dxa"/>
              <w:start w:w="120" w:type="dxa"/>
              <w:bottom w:w="80" w:type="dxa"/>
              <w:end w:w="120" w:type="dxa"/>
            </w:tcMar>
          </w:tcPr>
          <w:p>
            <w:pPr>
              <w:spacing w:after="40" w:line="240" w:lineRule="auto"/>
            </w:pPr>
            <w:r>
              <w:rPr>
                <w:rFonts w:ascii="Calibri" w:hAnsi="Calibri"/>
                <w:color w:val="101828"/>
                <w:sz w:val="17"/>
              </w:rPr>
              <w:t>ABSENT/WEAK</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Radical defaults with explicit relaxation</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P0</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Persistence and concurrency</w:t>
            </w:r>
          </w:p>
        </w:tc>
        <w:tc>
          <w:tcPr>
            <w:tcW w:type="dxa" w:w="2340"/>
            <w:shd w:fill="FEF0C7"/>
            <w:vAlign w:val="center"/>
            <w:tcMar>
              <w:top w:w="80" w:type="dxa"/>
              <w:start w:w="120" w:type="dxa"/>
              <w:bottom w:w="80" w:type="dxa"/>
              <w:end w:w="120" w:type="dxa"/>
            </w:tcMar>
          </w:tcPr>
          <w:p>
            <w:pPr>
              <w:spacing w:after="40" w:line="240" w:lineRule="auto"/>
            </w:pPr>
            <w:r>
              <w:rPr>
                <w:rFonts w:ascii="Calibri" w:hAnsi="Calibri"/>
                <w:color w:val="101828"/>
                <w:sz w:val="17"/>
              </w:rPr>
              <w:t>WEAK</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Safe handle-based transaction, revision/conflict/recovery</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P0/P1</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Input/decoder safety</w:t>
            </w:r>
          </w:p>
        </w:tc>
        <w:tc>
          <w:tcPr>
            <w:tcW w:type="dxa" w:w="2340"/>
            <w:shd w:fill="FEF0C7"/>
            <w:vAlign w:val="center"/>
            <w:tcMar>
              <w:top w:w="80" w:type="dxa"/>
              <w:start w:w="120" w:type="dxa"/>
              <w:bottom w:w="80" w:type="dxa"/>
              <w:end w:w="120" w:type="dxa"/>
            </w:tcMar>
          </w:tcPr>
          <w:p>
            <w:pPr>
              <w:spacing w:after="40" w:line="240" w:lineRule="auto"/>
            </w:pPr>
            <w:r>
              <w:rPr>
                <w:rFonts w:ascii="Calibri" w:hAnsi="Calibri"/>
                <w:color w:val="101828"/>
                <w:sz w:val="17"/>
              </w:rPr>
              <w:t>WEAK</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Strict bounds, allowlist, sandbox, fuzzing</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P0/P1</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Release authenticity</w:t>
            </w:r>
          </w:p>
        </w:tc>
        <w:tc>
          <w:tcPr>
            <w:tcW w:type="dxa" w:w="2340"/>
            <w:shd w:fill="FEE4E2"/>
            <w:vAlign w:val="center"/>
            <w:tcMar>
              <w:top w:w="80" w:type="dxa"/>
              <w:start w:w="120" w:type="dxa"/>
              <w:bottom w:w="80" w:type="dxa"/>
              <w:end w:w="120" w:type="dxa"/>
            </w:tcMar>
          </w:tcPr>
          <w:p>
            <w:pPr>
              <w:spacing w:after="40" w:line="240" w:lineRule="auto"/>
            </w:pPr>
            <w:r>
              <w:rPr>
                <w:rFonts w:ascii="Calibri" w:hAnsi="Calibri"/>
                <w:color w:val="101828"/>
                <w:sz w:val="17"/>
              </w:rPr>
              <w:t>UNACCEPTABLE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Signed/notarized packages and verified updater</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P0/P1</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Supply-chain provenance</w:t>
            </w:r>
          </w:p>
        </w:tc>
        <w:tc>
          <w:tcPr>
            <w:tcW w:type="dxa" w:w="2340"/>
            <w:shd w:fill="FEF0C7"/>
            <w:vAlign w:val="center"/>
            <w:tcMar>
              <w:top w:w="80" w:type="dxa"/>
              <w:start w:w="120" w:type="dxa"/>
              <w:bottom w:w="80" w:type="dxa"/>
              <w:end w:w="120" w:type="dxa"/>
            </w:tcMar>
          </w:tcPr>
          <w:p>
            <w:pPr>
              <w:spacing w:after="40" w:line="240" w:lineRule="auto"/>
            </w:pPr>
            <w:r>
              <w:rPr>
                <w:rFonts w:ascii="Calibri" w:hAnsi="Calibri"/>
                <w:color w:val="101828"/>
                <w:sz w:val="17"/>
              </w:rPr>
              <w:t>ABSENT</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Pinned inputs, SBOM, SLSA-style attestations</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P1</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Testing and external assurance</w:t>
            </w:r>
          </w:p>
        </w:tc>
        <w:tc>
          <w:tcPr>
            <w:tcW w:type="dxa" w:w="2340"/>
            <w:shd w:fill="FEF0C7"/>
            <w:vAlign w:val="center"/>
            <w:tcMar>
              <w:top w:w="80" w:type="dxa"/>
              <w:start w:w="120" w:type="dxa"/>
              <w:bottom w:w="80" w:type="dxa"/>
              <w:end w:w="120" w:type="dxa"/>
            </w:tcMar>
          </w:tcPr>
          <w:p>
            <w:pPr>
              <w:spacing w:after="40" w:line="240" w:lineRule="auto"/>
            </w:pPr>
            <w:r>
              <w:rPr>
                <w:rFonts w:ascii="Calibri" w:hAnsi="Calibri"/>
                <w:color w:val="101828"/>
                <w:sz w:val="17"/>
              </w:rPr>
              <w:t>WEAK</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Threat-derived gates plus independent audit</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P1/P3</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Privacy/network minimization</w:t>
            </w:r>
          </w:p>
        </w:tc>
        <w:tc>
          <w:tcPr>
            <w:tcW w:type="dxa" w:w="2340"/>
            <w:shd w:fill="D1FADF"/>
            <w:vAlign w:val="center"/>
            <w:tcMar>
              <w:top w:w="80" w:type="dxa"/>
              <w:start w:w="120" w:type="dxa"/>
              <w:bottom w:w="80" w:type="dxa"/>
              <w:end w:w="120" w:type="dxa"/>
            </w:tcMar>
          </w:tcPr>
          <w:p>
            <w:pPr>
              <w:spacing w:after="40" w:line="240" w:lineRule="auto"/>
            </w:pPr>
            <w:r>
              <w:rPr>
                <w:rFonts w:ascii="Calibri" w:hAnsi="Calibri"/>
                <w:color w:val="101828"/>
                <w:sz w:val="17"/>
              </w:rPr>
              <w:t>GOOD FOUNDATION</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Preserve no-network broker; isolate updater</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Keep</w:t>
            </w:r>
          </w:p>
        </w:tc>
      </w:tr>
      <w:tr>
        <w:trPr>
          <w:cantSplit/>
        </w:trPr>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Governance/support</w:t>
            </w:r>
          </w:p>
        </w:tc>
        <w:tc>
          <w:tcPr>
            <w:tcW w:type="dxa" w:w="2340"/>
            <w:shd w:fill="FEF0C7"/>
            <w:vAlign w:val="center"/>
            <w:tcMar>
              <w:top w:w="80" w:type="dxa"/>
              <w:start w:w="120" w:type="dxa"/>
              <w:bottom w:w="80" w:type="dxa"/>
              <w:end w:w="120" w:type="dxa"/>
            </w:tcMar>
          </w:tcPr>
          <w:p>
            <w:pPr>
              <w:spacing w:after="40" w:line="240" w:lineRule="auto"/>
            </w:pPr>
            <w:r>
              <w:rPr>
                <w:rFonts w:ascii="Calibri" w:hAnsi="Calibri"/>
                <w:color w:val="101828"/>
                <w:sz w:val="17"/>
              </w:rPr>
              <w:t>IMMATURE</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Two-person release, supported line, incident/key policy</w:t>
            </w:r>
          </w:p>
        </w:tc>
        <w:tc>
          <w:tcPr>
            <w:tcW w:type="dxa" w:w="2340"/>
            <w:vAlign w:val="center"/>
            <w:tcMar>
              <w:top w:w="80" w:type="dxa"/>
              <w:start w:w="120" w:type="dxa"/>
              <w:bottom w:w="80" w:type="dxa"/>
              <w:end w:w="120" w:type="dxa"/>
            </w:tcMar>
          </w:tcPr>
          <w:p>
            <w:pPr>
              <w:spacing w:after="40" w:line="240" w:lineRule="auto"/>
            </w:pPr>
            <w:r>
              <w:rPr>
                <w:rFonts w:ascii="Calibri" w:hAnsi="Calibri"/>
                <w:color w:val="101828"/>
                <w:sz w:val="17"/>
              </w:rPr>
              <w:t>P1/P4</w:t>
            </w:r>
          </w:p>
        </w:tc>
      </w:tr>
    </w:tbl>
    <w:p>
      <w:r>
        <w:br w:type="page"/>
      </w:r>
    </w:p>
    <w:p>
      <w:pPr>
        <w:pStyle w:val="Heading1"/>
      </w:pPr>
      <w:r>
        <w:t>Appendix C — Primary References</w:t>
      </w:r>
    </w:p>
    <w:p>
      <w:r>
        <w:rPr>
          <w:i w:val="0"/>
        </w:rPr>
        <w:t>References were current as of 12 August 2026. Competitor marketing pages are used only for documented architecture context; independent audit evidence is identified separately. Source-review conclusions remain bound to the scoped Nightlock commit.</w:t>
      </w:r>
    </w:p>
    <w:p>
      <w:pPr>
        <w:spacing w:after="60"/>
        <w:ind w:left="403" w:hanging="403"/>
      </w:pPr>
      <w:r>
        <w:rPr>
          <w:b/>
        </w:rPr>
        <w:t xml:space="preserve">[R01] </w:t>
      </w:r>
      <w:hyperlink r:id="rId14">
        <w:r>
          <w:rPr>
            <w:color w:val="2E74B5"/>
            <w:u w:val="single"/>
          </w:rPr>
          <w:t>Nightlock source tree, version 1.2.2, assessed commit db8a5d9174788b76363800b41498b935e01d6ce7</w:t>
        </w:r>
      </w:hyperlink>
    </w:p>
    <w:p>
      <w:pPr>
        <w:spacing w:after="60"/>
        <w:ind w:left="403" w:hanging="403"/>
      </w:pPr>
      <w:r>
        <w:rPr>
          <w:b/>
        </w:rPr>
        <w:t xml:space="preserve">[R02] </w:t>
      </w:r>
      <w:hyperlink r:id="rId15">
        <w:r>
          <w:rPr>
            <w:color w:val="2E74B5"/>
            <w:u w:val="single"/>
          </w:rPr>
          <w:t>Nightlock security and vault-format documentation</w:t>
        </w:r>
      </w:hyperlink>
    </w:p>
    <w:p>
      <w:pPr>
        <w:spacing w:after="60"/>
        <w:ind w:left="403" w:hanging="403"/>
      </w:pPr>
      <w:r>
        <w:rPr>
          <w:b/>
        </w:rPr>
        <w:t xml:space="preserve">[R03] </w:t>
      </w:r>
      <w:hyperlink r:id="rId16">
        <w:r>
          <w:rPr>
            <w:color w:val="2E74B5"/>
            <w:u w:val="single"/>
          </w:rPr>
          <w:t>KeePassXC User Guide</w:t>
        </w:r>
      </w:hyperlink>
    </w:p>
    <w:p>
      <w:pPr>
        <w:spacing w:after="60"/>
        <w:ind w:left="403" w:hanging="403"/>
      </w:pPr>
      <w:r>
        <w:rPr>
          <w:b/>
        </w:rPr>
        <w:t xml:space="preserve">[R04] </w:t>
      </w:r>
      <w:hyperlink r:id="rId17">
        <w:r>
          <w:rPr>
            <w:color w:val="2E74B5"/>
            <w:u w:val="single"/>
          </w:rPr>
          <w:t>KeePassXC Security Audits and Certifications</w:t>
        </w:r>
      </w:hyperlink>
    </w:p>
    <w:p>
      <w:pPr>
        <w:spacing w:after="60"/>
        <w:ind w:left="403" w:hanging="403"/>
      </w:pPr>
      <w:r>
        <w:rPr>
          <w:b/>
        </w:rPr>
        <w:t xml:space="preserve">[R05] </w:t>
      </w:r>
      <w:hyperlink r:id="rId18">
        <w:r>
          <w:rPr>
            <w:color w:val="2E74B5"/>
            <w:u w:val="single"/>
          </w:rPr>
          <w:t>KeePassXC Application Security Review, version 2.7.4 (2023)</w:t>
        </w:r>
      </w:hyperlink>
    </w:p>
    <w:p>
      <w:pPr>
        <w:spacing w:after="60"/>
        <w:ind w:left="403" w:hanging="403"/>
      </w:pPr>
      <w:r>
        <w:rPr>
          <w:b/>
        </w:rPr>
        <w:t xml:space="preserve">[R06] </w:t>
      </w:r>
      <w:hyperlink r:id="rId19">
        <w:r>
          <w:rPr>
            <w:color w:val="2E74B5"/>
            <w:u w:val="single"/>
          </w:rPr>
          <w:t>ANSSI/Synacktiv KeePassXC 2.7.9 Full Technical Report</w:t>
        </w:r>
      </w:hyperlink>
    </w:p>
    <w:p>
      <w:pPr>
        <w:spacing w:after="60"/>
        <w:ind w:left="403" w:hanging="403"/>
      </w:pPr>
      <w:r>
        <w:rPr>
          <w:b/>
        </w:rPr>
        <w:t xml:space="preserve">[R07] </w:t>
      </w:r>
      <w:hyperlink r:id="rId20">
        <w:r>
          <w:rPr>
            <w:color w:val="2E74B5"/>
            <w:u w:val="single"/>
          </w:rPr>
          <w:t>KeePassXC ANSSI CSPN Security Target</w:t>
        </w:r>
      </w:hyperlink>
    </w:p>
    <w:p>
      <w:pPr>
        <w:spacing w:after="60"/>
        <w:ind w:left="403" w:hanging="403"/>
      </w:pPr>
      <w:r>
        <w:rPr>
          <w:b/>
        </w:rPr>
        <w:t xml:space="preserve">[R08] </w:t>
      </w:r>
      <w:hyperlink r:id="rId21">
        <w:r>
          <w:rPr>
            <w:color w:val="2E74B5"/>
            <w:u w:val="single"/>
          </w:rPr>
          <w:t>KDBX 4.1 File Format Specification</w:t>
        </w:r>
      </w:hyperlink>
    </w:p>
    <w:p>
      <w:pPr>
        <w:spacing w:after="60"/>
        <w:ind w:left="403" w:hanging="403"/>
      </w:pPr>
      <w:r>
        <w:rPr>
          <w:b/>
        </w:rPr>
        <w:t xml:space="preserve">[R09] </w:t>
      </w:r>
      <w:hyperlink r:id="rId22">
        <w:r>
          <w:rPr>
            <w:color w:val="2E74B5"/>
            <w:u w:val="single"/>
          </w:rPr>
          <w:t>KeePass Security</w:t>
        </w:r>
      </w:hyperlink>
    </w:p>
    <w:p>
      <w:pPr>
        <w:spacing w:after="60"/>
        <w:ind w:left="403" w:hanging="403"/>
      </w:pPr>
      <w:r>
        <w:rPr>
          <w:b/>
        </w:rPr>
        <w:t xml:space="preserve">[R10] </w:t>
      </w:r>
      <w:hyperlink r:id="rId23">
        <w:r>
          <w:rPr>
            <w:color w:val="2E74B5"/>
            <w:u w:val="single"/>
          </w:rPr>
          <w:t>RFC 9106 — Argon2 Memory-Hard Function</w:t>
        </w:r>
      </w:hyperlink>
    </w:p>
    <w:p>
      <w:pPr>
        <w:spacing w:after="60"/>
        <w:ind w:left="403" w:hanging="403"/>
      </w:pPr>
      <w:r>
        <w:rPr>
          <w:b/>
        </w:rPr>
        <w:t xml:space="preserve">[R11] </w:t>
      </w:r>
      <w:hyperlink r:id="rId24">
        <w:r>
          <w:rPr>
            <w:color w:val="2E74B5"/>
            <w:u w:val="single"/>
          </w:rPr>
          <w:t>OWASP Password Storage Cheat Sheet</w:t>
        </w:r>
      </w:hyperlink>
    </w:p>
    <w:p>
      <w:pPr>
        <w:spacing w:after="60"/>
        <w:ind w:left="403" w:hanging="403"/>
      </w:pPr>
      <w:r>
        <w:rPr>
          <w:b/>
        </w:rPr>
        <w:t xml:space="preserve">[R12] </w:t>
      </w:r>
      <w:hyperlink r:id="rId25">
        <w:r>
          <w:rPr>
            <w:color w:val="2E74B5"/>
            <w:u w:val="single"/>
          </w:rPr>
          <w:t>libsodium Secure Memory documentation</w:t>
        </w:r>
      </w:hyperlink>
    </w:p>
    <w:p>
      <w:pPr>
        <w:spacing w:after="60"/>
        <w:ind w:left="403" w:hanging="403"/>
      </w:pPr>
      <w:r>
        <w:rPr>
          <w:b/>
        </w:rPr>
        <w:t xml:space="preserve">[R13] </w:t>
      </w:r>
      <w:hyperlink r:id="rId26">
        <w:r>
          <w:rPr>
            <w:color w:val="2E74B5"/>
            <w:u w:val="single"/>
          </w:rPr>
          <w:t>NIST SP 800-63B-4 — Authentication and Authenticator Management</w:t>
        </w:r>
      </w:hyperlink>
    </w:p>
    <w:p>
      <w:pPr>
        <w:spacing w:after="60"/>
        <w:ind w:left="403" w:hanging="403"/>
      </w:pPr>
      <w:r>
        <w:rPr>
          <w:b/>
        </w:rPr>
        <w:t xml:space="preserve">[R14] </w:t>
      </w:r>
      <w:hyperlink r:id="rId27">
        <w:r>
          <w:rPr>
            <w:color w:val="2E74B5"/>
            <w:u w:val="single"/>
          </w:rPr>
          <w:t>Qt advisory for CVE-2026-6210 in Qt SVG</w:t>
        </w:r>
      </w:hyperlink>
    </w:p>
    <w:p>
      <w:pPr>
        <w:spacing w:after="60"/>
        <w:ind w:left="403" w:hanging="403"/>
      </w:pPr>
      <w:r>
        <w:rPr>
          <w:b/>
        </w:rPr>
        <w:t xml:space="preserve">[R15] </w:t>
      </w:r>
      <w:hyperlink r:id="rId28">
        <w:r>
          <w:rPr>
            <w:color w:val="2E74B5"/>
            <w:u w:val="single"/>
          </w:rPr>
          <w:t>Qt 6.10 official security patch directory</w:t>
        </w:r>
      </w:hyperlink>
    </w:p>
    <w:p>
      <w:pPr>
        <w:spacing w:after="60"/>
        <w:ind w:left="403" w:hanging="403"/>
      </w:pPr>
      <w:r>
        <w:rPr>
          <w:b/>
        </w:rPr>
        <w:t xml:space="preserve">[R16] </w:t>
      </w:r>
      <w:hyperlink r:id="rId29">
        <w:r>
          <w:rPr>
            <w:color w:val="2E74B5"/>
            <w:u w:val="single"/>
          </w:rPr>
          <w:t>KeePassXC release signature verification</w:t>
        </w:r>
      </w:hyperlink>
    </w:p>
    <w:p>
      <w:pPr>
        <w:spacing w:after="60"/>
        <w:ind w:left="403" w:hanging="403"/>
      </w:pPr>
      <w:r>
        <w:rPr>
          <w:b/>
        </w:rPr>
        <w:t xml:space="preserve">[R17] </w:t>
      </w:r>
      <w:hyperlink r:id="rId30">
        <w:r>
          <w:rPr>
            <w:color w:val="2E74B5"/>
            <w:u w:val="single"/>
          </w:rPr>
          <w:t>KeePassXC 2.7.12 release</w:t>
        </w:r>
      </w:hyperlink>
    </w:p>
    <w:p>
      <w:pPr>
        <w:spacing w:after="60"/>
        <w:ind w:left="403" w:hanging="403"/>
      </w:pPr>
      <w:r>
        <w:rPr>
          <w:b/>
        </w:rPr>
        <w:t xml:space="preserve">[R18] </w:t>
      </w:r>
      <w:hyperlink r:id="rId31">
        <w:r>
          <w:rPr>
            <w:color w:val="2E74B5"/>
            <w:u w:val="single"/>
          </w:rPr>
          <w:t>Apple — Notarizing macOS software before distribution</w:t>
        </w:r>
      </w:hyperlink>
    </w:p>
    <w:p>
      <w:pPr>
        <w:spacing w:after="60"/>
        <w:ind w:left="403" w:hanging="403"/>
      </w:pPr>
      <w:r>
        <w:rPr>
          <w:b/>
        </w:rPr>
        <w:t xml:space="preserve">[R19] </w:t>
      </w:r>
      <w:hyperlink r:id="rId32">
        <w:r>
          <w:rPr>
            <w:color w:val="2E74B5"/>
            <w:u w:val="single"/>
          </w:rPr>
          <w:t>Apple — Hardened Runtime</w:t>
        </w:r>
      </w:hyperlink>
    </w:p>
    <w:p>
      <w:pPr>
        <w:spacing w:after="60"/>
        <w:ind w:left="403" w:hanging="403"/>
      </w:pPr>
      <w:r>
        <w:rPr>
          <w:b/>
        </w:rPr>
        <w:t xml:space="preserve">[R20] </w:t>
      </w:r>
      <w:hyperlink r:id="rId33">
        <w:r>
          <w:rPr>
            <w:color w:val="2E74B5"/>
            <w:u w:val="single"/>
          </w:rPr>
          <w:t>OWASP C-Based Toolchain Hardening</w:t>
        </w:r>
      </w:hyperlink>
    </w:p>
    <w:p>
      <w:pPr>
        <w:spacing w:after="60"/>
        <w:ind w:left="403" w:hanging="403"/>
      </w:pPr>
      <w:r>
        <w:rPr>
          <w:b/>
        </w:rPr>
        <w:t xml:space="preserve">[R21] </w:t>
      </w:r>
      <w:hyperlink r:id="rId34">
        <w:r>
          <w:rPr>
            <w:color w:val="2E74B5"/>
            <w:u w:val="single"/>
          </w:rPr>
          <w:t>Bitwarden Encryption Key Derivation</w:t>
        </w:r>
      </w:hyperlink>
    </w:p>
    <w:p>
      <w:pPr>
        <w:spacing w:after="60"/>
        <w:ind w:left="403" w:hanging="403"/>
      </w:pPr>
      <w:r>
        <w:rPr>
          <w:b/>
        </w:rPr>
        <w:t xml:space="preserve">[R22] </w:t>
      </w:r>
      <w:hyperlink r:id="rId35">
        <w:r>
          <w:rPr>
            <w:color w:val="2E74B5"/>
            <w:u w:val="single"/>
          </w:rPr>
          <w:t>1Password Security White Paper</w:t>
        </w:r>
      </w:hyperlink>
    </w:p>
    <w:p>
      <w:pPr>
        <w:spacing w:after="60"/>
        <w:ind w:left="403" w:hanging="403"/>
      </w:pPr>
      <w:r>
        <w:rPr>
          <w:b/>
        </w:rPr>
        <w:t xml:space="preserve">[R23] </w:t>
      </w:r>
      <w:hyperlink r:id="rId36">
        <w:r>
          <w:rPr>
            <w:color w:val="2E74B5"/>
            <w:u w:val="single"/>
          </w:rPr>
          <w:t>Proton Pass Security</w:t>
        </w:r>
      </w:hyperlink>
    </w:p>
    <w:p>
      <w:pPr>
        <w:spacing w:after="60"/>
        <w:ind w:left="403" w:hanging="403"/>
      </w:pPr>
      <w:r>
        <w:rPr>
          <w:b/>
        </w:rPr>
        <w:t xml:space="preserve">[R24] </w:t>
      </w:r>
      <w:hyperlink r:id="rId37">
        <w:r>
          <w:rPr>
            <w:color w:val="2E74B5"/>
            <w:u w:val="single"/>
          </w:rPr>
          <w:t>FIRST CVSS v4.0 Specification</w:t>
        </w:r>
      </w:hyperlink>
    </w:p>
    <w:p>
      <w:pPr>
        <w:spacing w:after="60"/>
        <w:ind w:left="403" w:hanging="403"/>
      </w:pPr>
      <w:r>
        <w:rPr>
          <w:b/>
        </w:rPr>
        <w:t xml:space="preserve">[R25] </w:t>
      </w:r>
      <w:hyperlink r:id="rId38">
        <w:r>
          <w:rPr>
            <w:color w:val="2E74B5"/>
            <w:u w:val="single"/>
          </w:rPr>
          <w:t>Apple — Resolving common notarization issues</w:t>
        </w:r>
      </w:hyperlink>
    </w:p>
    <w:p>
      <w:pPr>
        <w:spacing w:after="60"/>
        <w:ind w:left="403" w:hanging="403"/>
      </w:pPr>
      <w:r>
        <w:rPr>
          <w:b/>
        </w:rPr>
        <w:t xml:space="preserve">[R26] </w:t>
      </w:r>
      <w:hyperlink r:id="rId39">
        <w:r>
          <w:rPr>
            <w:color w:val="2E74B5"/>
            <w:u w:val="single"/>
          </w:rPr>
          <w:t>KeePassXC CMake hardening configuration</w:t>
        </w:r>
      </w:hyperlink>
    </w:p>
    <w:p>
      <w:pPr>
        <w:spacing w:after="60"/>
        <w:ind w:left="403" w:hanging="403"/>
      </w:pPr>
      <w:r>
        <w:rPr>
          <w:b/>
        </w:rPr>
        <w:t xml:space="preserve">[R27] </w:t>
      </w:r>
      <w:hyperlink r:id="rId40">
        <w:r>
          <w:rPr>
            <w:color w:val="2E74B5"/>
            <w:u w:val="single"/>
          </w:rPr>
          <w:t>GitHub artifact attestations</w:t>
        </w:r>
      </w:hyperlink>
    </w:p>
    <w:p>
      <w:pPr>
        <w:spacing w:after="60"/>
        <w:ind w:left="403" w:hanging="403"/>
      </w:pPr>
      <w:r>
        <w:rPr>
          <w:b/>
        </w:rPr>
        <w:t xml:space="preserve">[R28] </w:t>
      </w:r>
      <w:hyperlink r:id="rId41">
        <w:r>
          <w:rPr>
            <w:color w:val="2E74B5"/>
            <w:u w:val="single"/>
          </w:rPr>
          <w:t>SLSA v1.2 Build Track Basics</w:t>
        </w:r>
      </w:hyperlink>
    </w:p>
    <w:p>
      <w:pPr>
        <w:spacing w:after="60"/>
        <w:ind w:left="403" w:hanging="403"/>
      </w:pPr>
      <w:r>
        <w:rPr>
          <w:b/>
        </w:rPr>
        <w:t xml:space="preserve">[R29] </w:t>
      </w:r>
      <w:hyperlink r:id="rId42">
        <w:r>
          <w:rPr>
            <w:color w:val="2E74B5"/>
            <w:u w:val="single"/>
          </w:rPr>
          <w:t>GitHub Actions policy for full-SHA pinning</w:t>
        </w:r>
      </w:hyperlink>
    </w:p>
    <w:p>
      <w:r>
        <w:br w:type="page"/>
      </w:r>
    </w:p>
    <w:p>
      <w:pPr>
        <w:pStyle w:val="Heading1"/>
      </w:pPr>
      <w:r>
        <w:t>Appendix D — Glossary</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Field</w:t>
            </w:r>
          </w:p>
        </w:tc>
        <w:tc>
          <w:tcPr>
            <w:tcW w:type="dxa" w:w="4680"/>
            <w:vAlign w:val="center"/>
            <w:tcMar>
              <w:top w:w="80" w:type="dxa"/>
              <w:start w:w="120" w:type="dxa"/>
              <w:bottom w:w="80" w:type="dxa"/>
              <w:end w:w="120" w:type="dxa"/>
            </w:tcMar>
            <w:shd w:fill="F2F4F7"/>
          </w:tcPr>
          <w:p>
            <w:pPr>
              <w:spacing w:after="40" w:line="240" w:lineRule="auto"/>
            </w:pPr>
            <w:r>
              <w:rPr>
                <w:rFonts w:ascii="Calibri" w:hAnsi="Calibri"/>
                <w:b/>
                <w:color w:val="17365D"/>
                <w:sz w:val="17"/>
              </w:rPr>
              <w:t>Value</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AAD</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Associated authenticated data: integrity-protected metadata not encrypted by an AEAD operation.</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AEAD</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Authenticated encryption with associated data, providing confidentiality and integrity.</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DEK</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Data-encryption key used to encrypt a vault payload or record.</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KDF</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Key-derivation function; Argon2id converts a password and salt into costly key material.</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KEK</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Key-encryption key used to wrap another random key rather than bulk data.</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KDBX</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KeePass 2.x database format; current public specification is 4.1.</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NLCK</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Nightlock's current custom vault file format.</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SLSA</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Supply-chain Levels for Software Artifacts; a framework for provenance and build integrity.</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SSO</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Short-string optimization: storage inside a string object that can bypass a custom heap allocator.</w:t>
            </w:r>
          </w:p>
        </w:tc>
      </w:tr>
      <w:tr>
        <w:trPr>
          <w:cantSplit/>
        </w:trPr>
        <w:tc>
          <w:tcPr>
            <w:tcW w:type="dxa" w:w="2232"/>
            <w:shd w:fill="F9FAFB"/>
            <w:vAlign w:val="center"/>
            <w:tcMar>
              <w:top w:w="80" w:type="dxa"/>
              <w:start w:w="120" w:type="dxa"/>
              <w:bottom w:w="80" w:type="dxa"/>
              <w:end w:w="120" w:type="dxa"/>
            </w:tcMar>
          </w:tcPr>
          <w:p>
            <w:pPr>
              <w:spacing w:after="40" w:line="240" w:lineRule="auto"/>
            </w:pPr>
            <w:r>
              <w:rPr>
                <w:rFonts w:ascii="Calibri" w:hAnsi="Calibri"/>
                <w:b/>
                <w:color w:val="101828"/>
                <w:sz w:val="17"/>
              </w:rPr>
              <w:t>VRK</w:t>
            </w:r>
          </w:p>
        </w:tc>
        <w:tc>
          <w:tcPr>
            <w:tcW w:type="dxa" w:w="6840"/>
            <w:vAlign w:val="center"/>
            <w:tcMar>
              <w:top w:w="80" w:type="dxa"/>
              <w:start w:w="120" w:type="dxa"/>
              <w:bottom w:w="80" w:type="dxa"/>
              <w:end w:w="120" w:type="dxa"/>
            </w:tcMar>
          </w:tcPr>
          <w:p>
            <w:pPr>
              <w:spacing w:after="40" w:line="240" w:lineRule="auto"/>
            </w:pPr>
            <w:r>
              <w:rPr>
                <w:rFonts w:ascii="Calibri" w:hAnsi="Calibri"/>
                <w:color w:val="101828"/>
                <w:sz w:val="17"/>
              </w:rPr>
              <w:t>Vault root key: random long-term root material wrapped by unlock slots.</w:t>
            </w:r>
          </w:p>
        </w:tc>
      </w:tr>
    </w:tbl>
    <w:p>
      <w:r>
        <w:br w:type="page"/>
      </w:r>
    </w:p>
    <w:p>
      <w:pPr>
        <w:pStyle w:val="Heading1"/>
      </w:pPr>
      <w:r>
        <w:t>System Conclusion — Keep, Redesign, Add, Remove</w:t>
      </w: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tblHeader w:val="true"/>
        </w:trPr>
        <w:tc>
          <w:tcPr>
            <w:tcW w:type="dxa" w:w="9360"/>
            <w:vAlign w:val="center"/>
            <w:tcMar>
              <w:top w:w="80" w:type="dxa"/>
              <w:start w:w="120" w:type="dxa"/>
              <w:bottom w:w="80" w:type="dxa"/>
              <w:end w:w="120" w:type="dxa"/>
            </w:tcMar>
            <w:shd w:fill="FEE4E2"/>
          </w:tcPr>
          <w:p>
            <w:pPr>
              <w:spacing w:after="80" w:line="240" w:lineRule="auto"/>
            </w:pPr>
            <w:r>
              <w:rPr>
                <w:b/>
                <w:color w:val="B42318"/>
              </w:rPr>
              <w:t>Final decision</w:t>
              <w:br/>
            </w:r>
            <w:r>
              <w:rPr>
                <w:color w:val="101828"/>
              </w:rPr>
              <w:t>Nightlock should not be treated as a production password manager or described as KeePass-strength today. Its cryptographic foundation is worth retaining, but the application must be rebuilt around secret lifetime, key lifecycle, trustworthy persistence, authenticated delivery, and independent assurance. Closing only the visible UI issues will not be sufficient.</w:t>
            </w:r>
          </w:p>
        </w:tc>
      </w:tr>
    </w:tbl>
    <w:p>
      <w:pPr>
        <w:spacing w:after="0"/>
      </w:pP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tblHeader w:val="true"/>
        </w:trPr>
        <w:tc>
          <w:tcPr>
            <w:tcW w:type="dxa" w:w="9360"/>
            <w:vAlign w:val="center"/>
            <w:tcMar>
              <w:top w:w="80" w:type="dxa"/>
              <w:start w:w="120" w:type="dxa"/>
              <w:bottom w:w="80" w:type="dxa"/>
              <w:end w:w="120" w:type="dxa"/>
            </w:tcMar>
            <w:shd w:fill="D1FADF"/>
          </w:tcPr>
          <w:p>
            <w:pPr>
              <w:spacing w:after="80" w:line="240" w:lineRule="auto"/>
            </w:pPr>
            <w:r>
              <w:rPr>
                <w:b/>
                <w:color w:val="027A48"/>
                <w:sz w:val="26"/>
              </w:rPr>
              <w:t>KEEP</w:t>
            </w:r>
          </w:p>
          <w:p>
            <w:pPr>
              <w:pStyle w:val="ListBullet"/>
            </w:pPr>
            <w:r>
              <w:t>libsodium and well-known primitives; Argon2id and XChaCha20-Poly1305 with authenticated header and fresh nonce.</w:t>
            </w:r>
          </w:p>
          <w:p>
            <w:pPr>
              <w:pStyle w:val="ListBullet"/>
            </w:pPr>
            <w:r>
              <w:t>Local-first, no-network-by-default model and a Qt-free core boundary.</w:t>
            </w:r>
          </w:p>
          <w:p>
            <w:pPr>
              <w:pStyle w:val="ListBullet"/>
            </w:pPr>
            <w:r>
              <w:t>CSPRNG password generation, constant-time comparison, atomic/durable intent, security documentation, private reporting, and existing functional tests.</w:t>
            </w:r>
          </w:p>
          <w:p>
            <w:pPr>
              <w:pStyle w:val="ListBullet"/>
            </w:pPr>
            <w:r>
              <w:t>The small product scope. Resist adding cloud, plugins, sharing, and browser integration until the security baseline is closed.</w:t>
            </w:r>
          </w:p>
        </w:tc>
      </w:tr>
    </w:tbl>
    <w:p>
      <w:pPr>
        <w:spacing w:after="0"/>
      </w:pP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tblHeader w:val="true"/>
        </w:trPr>
        <w:tc>
          <w:tcPr>
            <w:tcW w:type="dxa" w:w="9360"/>
            <w:vAlign w:val="center"/>
            <w:tcMar>
              <w:top w:w="80" w:type="dxa"/>
              <w:start w:w="120" w:type="dxa"/>
              <w:bottom w:w="80" w:type="dxa"/>
              <w:end w:w="120" w:type="dxa"/>
            </w:tcMar>
            <w:shd w:fill="EAF2F8"/>
          </w:tcPr>
          <w:p>
            <w:pPr>
              <w:spacing w:after="80" w:line="240" w:lineRule="auto"/>
            </w:pPr>
            <w:r>
              <w:rPr>
                <w:b/>
                <w:color w:val="17365D"/>
                <w:sz w:val="26"/>
              </w:rPr>
              <w:t>REDESIGN</w:t>
            </w:r>
          </w:p>
          <w:p>
            <w:pPr>
              <w:pStyle w:val="ListBullet"/>
            </w:pPr>
            <w:r>
              <w:t>The vault format/key schedule: random wrapped root/data keys, factor slots, domain-separated subkeys, key epochs, authenticated revision, strict limits, UUID/history/migration—or adopt reviewed KDBX 4.1 code.</w:t>
            </w:r>
          </w:p>
          <w:p>
            <w:pPr>
              <w:pStyle w:val="ListBullet"/>
            </w:pPr>
            <w:r>
              <w:t>The unlocked architecture: an isolated no-network vault broker, move-only protected values, minimal metadata UI, explicit secret capabilities, deterministic purge.</w:t>
            </w:r>
          </w:p>
          <w:p>
            <w:pPr>
              <w:pStyle w:val="ListBullet"/>
            </w:pPr>
            <w:r>
              <w:t>Persistence: handle-based no-follow transactions, rekey-aware backups, encrypted recovery, writer locks, conflict/rollback detection, and safe permissions.</w:t>
            </w:r>
          </w:p>
          <w:p>
            <w:pPr>
              <w:pStyle w:val="ListBullet"/>
            </w:pPr>
            <w:r>
              <w:t>Touch ID and updates: OS-enforced wrapping of random material and a separately trusted signed update path, both rooted in publisher identity.</w:t>
            </w:r>
          </w:p>
          <w:p>
            <w:pPr>
              <w:pStyle w:val="ListBullet"/>
            </w:pPr>
            <w:r>
              <w:t>Release engineering: hardened, reproducible/attested, two-person, platform-signed packages with supported version lines.</w:t>
            </w:r>
          </w:p>
        </w:tc>
      </w:tr>
    </w:tbl>
    <w:p>
      <w:pPr>
        <w:spacing w:after="0"/>
      </w:pP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tblHeader w:val="true"/>
        </w:trPr>
        <w:tc>
          <w:tcPr>
            <w:tcW w:type="dxa" w:w="9360"/>
            <w:vAlign w:val="center"/>
            <w:tcMar>
              <w:top w:w="80" w:type="dxa"/>
              <w:start w:w="120" w:type="dxa"/>
              <w:bottom w:w="80" w:type="dxa"/>
              <w:end w:w="120" w:type="dxa"/>
            </w:tcMar>
            <w:shd w:fill="FEF0C7"/>
          </w:tcPr>
          <w:p>
            <w:pPr>
              <w:spacing w:after="80" w:line="240" w:lineRule="auto"/>
            </w:pPr>
            <w:r>
              <w:rPr>
                <w:b/>
                <w:color w:val="B54708"/>
                <w:sz w:val="26"/>
              </w:rPr>
              <w:t>ADD</w:t>
            </w:r>
          </w:p>
          <w:p>
            <w:pPr>
              <w:pStyle w:val="ListBullet"/>
            </w:pPr>
            <w:r>
              <w:t>Strong master-passphrase policy with local blocklist/strength estimation; calibrated KDF profiles; key file and hardware-token factors; recovery/rotation semantics.</w:t>
            </w:r>
          </w:p>
          <w:p>
            <w:pPr>
              <w:pStyle w:val="ListBullet"/>
            </w:pPr>
            <w:r>
              <w:t>Automatic/session/suspend/background lock, per-action reauthentication, masked editing, timed reveal, screenshot prevention, clipboard ownership/expiry.</w:t>
            </w:r>
          </w:p>
          <w:p>
            <w:pPr>
              <w:pStyle w:val="ListBullet"/>
            </w:pPr>
            <w:r>
              <w:t>Origin-bound browser integration and reviewed Auto-Type only after broker isolation; typed TOTP with standards vectors.</w:t>
            </w:r>
          </w:p>
          <w:p>
            <w:pPr>
              <w:pStyle w:val="ListBullet"/>
            </w:pPr>
            <w:r>
              <w:t>Parser/resource limits, fuzzing, sanitizers, static analysis, dependency scanning, memory sentinel tests, failure injection, package tests, SBOM, provenance.</w:t>
            </w:r>
          </w:p>
          <w:p>
            <w:pPr>
              <w:pStyle w:val="ListBullet"/>
            </w:pPr>
            <w:r>
              <w:t>Independent version-bound audit, public remediation, bug bounty, patch SLA, signing-key/incident drills, and accurate security claims.</w:t>
            </w:r>
          </w:p>
        </w:tc>
      </w:tr>
    </w:tbl>
    <w:p>
      <w:pPr>
        <w:spacing w:after="0"/>
      </w:pPr>
    </w:p>
    <w:tbl>
      <w:tblPr>
        <w:tblW w:type="dxa" w:w="9360"/>
        <w:jc w:val="center"/>
        <w:tblLayout w:type="autofit"/>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0"/>
      </w:tblGrid>
      <w:tr>
        <w:trPr>
          <w:tblHeader w:val="true"/>
        </w:trPr>
        <w:tc>
          <w:tcPr>
            <w:tcW w:type="dxa" w:w="9360"/>
            <w:vAlign w:val="center"/>
            <w:tcMar>
              <w:top w:w="80" w:type="dxa"/>
              <w:start w:w="120" w:type="dxa"/>
              <w:bottom w:w="80" w:type="dxa"/>
              <w:end w:w="120" w:type="dxa"/>
            </w:tcMar>
            <w:shd w:fill="FEE4E2"/>
          </w:tcPr>
          <w:p>
            <w:pPr>
              <w:spacing w:after="80" w:line="240" w:lineRule="auto"/>
            </w:pPr>
            <w:r>
              <w:rPr>
                <w:b/>
                <w:color w:val="B42318"/>
                <w:sz w:val="26"/>
              </w:rPr>
              <w:t>REMOVE</w:t>
            </w:r>
          </w:p>
          <w:p>
            <w:pPr>
              <w:pStyle w:val="ListBullet"/>
            </w:pPr>
            <w:r>
              <w:t>All production test/demo/password/screenshot hooks and raw-pointer drag MIME.</w:t>
            </w:r>
          </w:p>
          <w:p>
            <w:pPr>
              <w:pStyle w:val="ListBullet"/>
            </w:pPr>
            <w:r>
              <w:t>Legacy Touch ID fallback and storage of the reusable master password.</w:t>
            </w:r>
          </w:p>
          <w:p>
            <w:pPr>
              <w:pStyle w:val="ListBullet"/>
            </w:pPr>
            <w:r>
              <w:t>Fictitious automatic-update controls until a real signed updater exists.</w:t>
            </w:r>
          </w:p>
          <w:p>
            <w:pPr>
              <w:pStyle w:val="ListBullet"/>
            </w:pPr>
            <w:r>
              <w:t>Arbitrary external icon paths, broad/unused decoder plugins, unresolved asset packs, and unbounded file/parser inputs.</w:t>
            </w:r>
          </w:p>
          <w:p>
            <w:pPr>
              <w:pStyle w:val="ListBullet"/>
            </w:pPr>
            <w:r>
              <w:t>One-character password acceptance, indefinite clipboard, unmasked secret editors, secret argv/default stdout, silent save discard, and last-writer-wins behavior.</w:t>
            </w:r>
          </w:p>
          <w:p>
            <w:pPr>
              <w:pStyle w:val="ListBullet"/>
            </w:pPr>
            <w:r>
              <w:t>Any promise of ‘absolute protection’. Replace it with a scoped, testable threat model and evidence-backed guarantees.</w:t>
            </w:r>
          </w:p>
        </w:tc>
      </w:tr>
    </w:tbl>
    <w:p>
      <w:pPr>
        <w:spacing w:after="0"/>
      </w:pPr>
    </w:p>
    <w:p>
      <w:pPr>
        <w:pStyle w:val="Heading2"/>
      </w:pPr>
      <w:r>
        <w:t>The Bar for KeePass-Class Security</w:t>
      </w:r>
    </w:p>
    <w:p>
      <w:r>
        <w:rPr>
          <w:i w:val="0"/>
        </w:rPr>
        <w:t>Nightlock reaches the KeePass/KeePassXC security league only when all Critical findings and the High release/runtime/persistence findings are closed in the exact production artifacts; the v2/KDBX architecture is specified and tested; publisher identity and updates are verifiable; and an independent audit confirms the scoped claims. Feature similarity, a strong cipher, or a clean UI is not that bar.</w:t>
      </w:r>
    </w:p>
    <w:p>
      <w:r>
        <w:rPr>
          <w:i w:val="0"/>
        </w:rPr>
        <w:t>The most defensible long-term differentiator is not ‘more absolute than KeePassXC’. It is a smaller, local-only, no-network vault with stricter defaults, transparent limits, excellent secret-lifecycle engineering, and independently reproducible evidence. That is achievable—but it requires treating every plaintext byte and every distributed binary as part of the cryptographic system.</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20"/>
      <w:gridCol w:w="3120"/>
      <w:gridCol w:w="3120"/>
    </w:tblGrid>
    <w:tr>
      <w:trPr>
        <w:tblHeader w:val="true"/>
      </w:trPr>
      <w:tc>
        <w:tcPr>
          <w:tcW w:type="dxa" w:w="3120"/>
        </w:tcPr>
        <w:p>
          <w:r>
            <w:rPr>
              <w:rFonts w:ascii="Calibri" w:hAnsi="Calibri"/>
              <w:color w:val="667085"/>
              <w:sz w:val="16"/>
            </w:rPr>
            <w:t>NL-SA-2026-001  •  v1.0</w:t>
          </w:r>
        </w:p>
      </w:tc>
      <w:tc>
        <w:tcPr>
          <w:tcW w:type="dxa" w:w="3120"/>
        </w:tcPr>
        <w:p>
          <w:pPr>
            <w:jc w:val="center"/>
          </w:pPr>
          <w:r>
            <w:rPr>
              <w:rFonts w:ascii="Calibri" w:hAnsi="Calibri"/>
              <w:color w:val="667085"/>
              <w:sz w:val="16"/>
            </w:rPr>
            <w:t>Internal Security Assessment</w:t>
          </w:r>
        </w:p>
      </w:tc>
      <w:tc>
        <w:tcPr>
          <w:tcW w:type="dxa" w:w="3120"/>
        </w:tcPr>
        <w:p>
          <w:pPr>
            <w:jc w:val="right"/>
          </w:pPr>
          <w:r>
            <w:rPr>
              <w:rFonts w:ascii="Calibri" w:hAnsi="Calibri"/>
              <w:color w:val="667085"/>
              <w:sz w:val="16"/>
            </w:rPr>
            <w:t xml:space="preserve">Page </w:t>
          </w:r>
          <w:r>
            <w:rPr>
              <w:rFonts w:ascii="Calibri" w:hAnsi="Calibri"/>
              <w:color w:val="667085"/>
              <w:sz w:val="16"/>
            </w:rPr>
            <w:fldChar w:fldCharType="begin"/>
            <w:instrText xml:space="preserve"> PAGE </w:instrText>
            <w:fldChar w:fldCharType="separate"/>
            <w:t>1</w:t>
            <w:fldChar w:fldCharType="end"/>
          </w:r>
          <w:r>
            <w:rPr>
              <w:rFonts w:ascii="Calibri" w:hAnsi="Calibri"/>
              <w:color w:val="667085"/>
              <w:sz w:val="16"/>
            </w:rPr>
            <w:t xml:space="preserve"> of </w:t>
          </w:r>
          <w:r>
            <w:rPr>
              <w:rFonts w:ascii="Calibri" w:hAnsi="Calibri"/>
              <w:color w:val="667085"/>
              <w:sz w:val="16"/>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6" w:color="D0D5DD"/>
      </w:pBdr>
    </w:pPr>
    <w:r>
      <w:rPr>
        <w:rFonts w:ascii="Calibri" w:hAnsi="Calibri"/>
        <w:b/>
        <w:color w:val="667085"/>
        <w:sz w:val="16"/>
      </w:rPr>
      <w:t>NIGHTLOCK SECURITY ASSESSMENT  |  SECURITY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720" w:hanging="360"/>
      </w:pPr>
    </w:lvl>
  </w:abstractNum>
  <w:num w:numId="10">
    <w:abstractNumId w:val="9"/>
  </w:num>
  <w:abstractNum w:abstractNumId="10">
    <w:multiLevelType w:val="singleLevel"/>
    <w:lvl w:ilvl="0">
      <w:start w:val="1"/>
      <w:numFmt w:val="decimal"/>
      <w:lvlText w:val="%1."/>
      <w:suff w:val="space"/>
      <w:pPr>
        <w:ind w:left="720" w:hanging="360"/>
      </w:pPr>
    </w:lvl>
  </w:abstractNum>
  <w:num w:numId="11">
    <w:abstractNumId w:val="10"/>
  </w:num>
  <w:abstractNum w:abstractNumId="11">
    <w:multiLevelType w:val="singleLevel"/>
    <w:lvl w:ilvl="0">
      <w:start w:val="1"/>
      <w:numFmt w:val="decimal"/>
      <w:lvlText w:val="%1."/>
      <w:suff w:val="space"/>
      <w:pPr>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01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vidence">
    <w:name w:val="Code Evidence"/>
    <w:pPr>
      <w:keepLines/>
      <w:spacing w:before="40" w:after="80"/>
      <w:ind w:left="259" w:right="173"/>
      <w:shd w:fill="F9FAFB"/>
    </w:pPr>
    <w:rPr>
      <w:rFonts w:ascii="Consolas" w:hAnsi="Consolas" w:eastAsia="Consolas"/>
      <w:color w:val="34405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res138/nightlock" TargetMode="External"/><Relationship Id="rId15" Type="http://schemas.openxmlformats.org/officeDocument/2006/relationships/hyperlink" Target="https://github.com/res138/nightlock/tree/main/docs" TargetMode="External"/><Relationship Id="rId16" Type="http://schemas.openxmlformats.org/officeDocument/2006/relationships/hyperlink" Target="https://keepassxc.org/docs/KeePassXC_UserGuide" TargetMode="External"/><Relationship Id="rId17" Type="http://schemas.openxmlformats.org/officeDocument/2006/relationships/hyperlink" Target="https://keepassxc.org/audits/" TargetMode="External"/><Relationship Id="rId18" Type="http://schemas.openxmlformats.org/officeDocument/2006/relationships/hyperlink" Target="https://keepassxc.org/assets/pdf/KeePassXC-Review-V1-Molotnikov.pdf" TargetMode="External"/><Relationship Id="rId19" Type="http://schemas.openxmlformats.org/officeDocument/2006/relationships/hyperlink" Target="https://keepassxc.org/assets/pdf/Synacktiv-ANSSI-CSPN-KeePassXC-RTE-v1.3.pdf" TargetMode="External"/><Relationship Id="rId20" Type="http://schemas.openxmlformats.org/officeDocument/2006/relationships/hyperlink" Target="https://keepassxc.org/assets/pdf/Cible-ANSSI-CSPN-2025-16en.pdf" TargetMode="External"/><Relationship Id="rId21" Type="http://schemas.openxmlformats.org/officeDocument/2006/relationships/hyperlink" Target="https://keepass.info/help/kb/kdbx.html" TargetMode="External"/><Relationship Id="rId22" Type="http://schemas.openxmlformats.org/officeDocument/2006/relationships/hyperlink" Target="https://keepass.info/help/base/security.html" TargetMode="External"/><Relationship Id="rId23" Type="http://schemas.openxmlformats.org/officeDocument/2006/relationships/hyperlink" Target="https://www.rfc-editor.org/rfc/rfc9106.html" TargetMode="External"/><Relationship Id="rId24" Type="http://schemas.openxmlformats.org/officeDocument/2006/relationships/hyperlink" Target="https://cheatsheetseries.owasp.org/cheatsheets/Password_Storage_Cheat_Sheet.html" TargetMode="External"/><Relationship Id="rId25" Type="http://schemas.openxmlformats.org/officeDocument/2006/relationships/hyperlink" Target="https://doc.libsodium.org/memory_management" TargetMode="External"/><Relationship Id="rId26" Type="http://schemas.openxmlformats.org/officeDocument/2006/relationships/hyperlink" Target="https://pages.nist.gov/800-63-4/sp800-63b.html" TargetMode="External"/><Relationship Id="rId27" Type="http://schemas.openxmlformats.org/officeDocument/2006/relationships/hyperlink" Target="https://www.qt.io/blog/security-advisory-type-confusion-and-heap-buffer-overflow-vulnerability-in-qt-svg-marker-handling" TargetMode="External"/><Relationship Id="rId28" Type="http://schemas.openxmlformats.org/officeDocument/2006/relationships/hyperlink" Target="https://download.qt.io/official_releases/qt/6.10/" TargetMode="External"/><Relationship Id="rId29" Type="http://schemas.openxmlformats.org/officeDocument/2006/relationships/hyperlink" Target="https://keepassxc.org/verifying-signatures/" TargetMode="External"/><Relationship Id="rId30" Type="http://schemas.openxmlformats.org/officeDocument/2006/relationships/hyperlink" Target="https://keepassxc.org/blog/2026-03-10-2.7.12-released/" TargetMode="External"/><Relationship Id="rId31" Type="http://schemas.openxmlformats.org/officeDocument/2006/relationships/hyperlink" Target="https://developer.apple.com/documentation/security/notarizing-macos-software-before-distribution" TargetMode="External"/><Relationship Id="rId32" Type="http://schemas.openxmlformats.org/officeDocument/2006/relationships/hyperlink" Target="https://developer.apple.com/documentation/security/hardened-runtime" TargetMode="External"/><Relationship Id="rId33" Type="http://schemas.openxmlformats.org/officeDocument/2006/relationships/hyperlink" Target="https://cheatsheetseries.owasp.org/cheatsheets/C-Based_Toolchain_Hardening_Cheat_Sheet.html" TargetMode="External"/><Relationship Id="rId34" Type="http://schemas.openxmlformats.org/officeDocument/2006/relationships/hyperlink" Target="https://bitwarden.com/help/kdf-algorithms/" TargetMode="External"/><Relationship Id="rId35" Type="http://schemas.openxmlformats.org/officeDocument/2006/relationships/hyperlink" Target="https://1passwordstatic.com/files/security/1password-white-paper.pdf" TargetMode="External"/><Relationship Id="rId36" Type="http://schemas.openxmlformats.org/officeDocument/2006/relationships/hyperlink" Target="https://proton.me/pass/security" TargetMode="External"/><Relationship Id="rId37" Type="http://schemas.openxmlformats.org/officeDocument/2006/relationships/hyperlink" Target="https://www.first.org/cvss/v4-0/specification-document" TargetMode="External"/><Relationship Id="rId38" Type="http://schemas.openxmlformats.org/officeDocument/2006/relationships/hyperlink" Target="https://developer.apple.com/documentation/security/resolving-common-notarization-issues" TargetMode="External"/><Relationship Id="rId39" Type="http://schemas.openxmlformats.org/officeDocument/2006/relationships/hyperlink" Target="https://github.com/keepassxreboot/keepassxc/blob/develop/CMakeLists.txt" TargetMode="External"/><Relationship Id="rId40" Type="http://schemas.openxmlformats.org/officeDocument/2006/relationships/hyperlink" Target="https://docs.github.com/en/actions/concepts/security/artifact-attestations" TargetMode="External"/><Relationship Id="rId41" Type="http://schemas.openxmlformats.org/officeDocument/2006/relationships/hyperlink" Target="https://slsa.dev/spec/v1.2/build-track-basics" TargetMode="External"/><Relationship Id="rId42" Type="http://schemas.openxmlformats.org/officeDocument/2006/relationships/hyperlink" Target="https://docs.github.com/en/repositories/managing-your-repositorys-settings-and-features/enabling-features-for-your-repository/managing-github-actions-settings-for-a-reposi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Nightlock Comprehensive Security Assessment</dc:title>
  <dc:subject>Architecture, implementation, platform, and supply-chain review</dc:subject>
  <dc:creator/>
  <cp:keywords>Nightlock, security assessment, password manager, KeePassXC</cp:keywords>
  <dc:description>generated by python-docx</dc:description>
  <cp:lastModifiedBy/>
  <cp:revision>1</cp:revision>
  <dcterms:created xsi:type="dcterms:W3CDTF">2013-12-23T23:15:00Z</dcterms:created>
  <dcterms:modified xsi:type="dcterms:W3CDTF">2013-12-23T23:15:00Z</dcterms:modified>
  <cp:category/>
</cp:coreProperties>
</file>