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ind w:firstLine="0"/>
        <w:jc w:val="center"/>
      </w:pPr>
      <w:r>
        <w:rPr>
          <w:rFonts w:ascii="Times New Roman" w:hAnsi="Times New Roman"/>
          <w:b/>
          <w:sz w:val="30"/>
        </w:rPr>
        <w:t>ИССЛЕДОВАТЕЛЬСКАЯ РАБОТА</w:t>
      </w:r>
    </w:p>
    <w:p>
      <w:pPr>
        <w:pStyle w:val="Title"/>
        <w:ind w:firstLine="0"/>
        <w:jc w:val="center"/>
      </w:pPr>
      <w:r>
        <w:t>Сетевая структура локального безналичного потребительского спроса: выявление и проверка устойчивости профилей муниципальных образований России</w:t>
      </w:r>
    </w:p>
    <w:p>
      <w:pPr>
        <w:ind w:firstLine="0"/>
        <w:jc w:val="center"/>
      </w:pPr>
      <w:r>
        <w:rPr>
          <w:i/>
          <w:sz w:val="24"/>
        </w:rPr>
        <w:t>Атрибутированные сети • временные сообщества • пространственная и алгоритмическая устойчивость</w:t>
      </w:r>
    </w:p>
    <w:p/>
    <w:p/>
    <w:p/>
    <w:p>
      <w:pPr>
        <w:ind w:firstLine="0"/>
        <w:jc w:val="right"/>
      </w:pPr>
      <w:r>
        <w:t>Автор: ________________________________</w:t>
      </w:r>
    </w:p>
    <w:p>
      <w:pPr>
        <w:ind w:firstLine="0"/>
        <w:jc w:val="right"/>
      </w:pPr>
      <w:r>
        <w:t>Организация: _____________________________</w:t>
      </w:r>
    </w:p>
    <w:p>
      <w:pPr>
        <w:ind w:firstLine="0"/>
        <w:jc w:val="right"/>
      </w:pPr>
      <w:r>
        <w:t>Руководитель: ____________________________</w:t>
      </w:r>
    </w:p>
    <w:p/>
    <w:p/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работе исследуется структура локального безналичного потребительского спроса на уровне муниципальных образований России с использованием атрибутированных сетей. Исходные данные представляют собой ежемесячные расходы за январь 2023 — декабрь 2024 года. После аудита полноты и неоднозначных территориальных рядов сформирована строгая сбалансированная панель из 1904 муниципальных образований. Для каждого месяца структура расходов представлена композиционным CLR-блоком, а общий уровень расходов — отдельным robust-z признаком. На этой основе построены взвешенные mutual-kNN-сети сходства и 24-слойная временная supra-сеть.</w:t>
      </w:r>
    </w:p>
    <w:p>
      <w:r>
        <w:t>Reference specification фиксирует α=0,70 для композиционного блока и 0,30 для уровня, k=20, межслойную связь ω=2 и Louvain с resolution=0,5. Эти значения рассматриваются как рабочая спецификация, а не как статистически найденный оптимум. Методика сопоставлена с альтернативными функциями близости, правилами построения графа и алгоритмами кластеризации. Устойчивость проверена по k, ω, α, административной форме, пространственным блокам, численности и плотности населения, заменой Louvain на Leiden и каноническим perturbation-протоколом v2 с 50 воспроизводимыми запусками.</w:t>
      </w:r>
    </w:p>
    <w:p>
      <w:r>
        <w:t>Главный результат состоит не в обнаружении «семи устойчивых типов экономики», а в выявлении многоуровневой сетевой организации спроса. В декабрьском срезе временной модели выделены семь крупных профилей A–G и три микросообщества. Их доказательная сила неодинакова: D демонстрирует алгоритмически и perturbation-воспроизводимое ядро при неустойчивой границе, но его compactness существенно ослабевает после population/density controls; B — вложенный федерально-внутригородской подтип; E — отдельный urban/context-sensitive профиль, а не доказанная единая macrofamily с B; F — пограничная/refinement-популяция с низкой устойчивостью точного членства; G — широкий макропрофиль с неоднородной устойчивостью членства; A — перекрывающийся сетевой режим; C отвергнут как самостоятельный профиль сверх контекстных факторов. Leiden и perturbation n=50 показывают, что точные границы и временные траектории существенно менее устойчивы, чем крупные ядра. Исследование также документирует собственные отрицательные результаты: ранний perturbation n=5 исключён как невоспроизводимый, transductive mobility-AUC отозван из-за leakage, а исторические конечные значения S_Dbw исключены из канонической evidence из-за неустановленного происхождения реализации.</w:t>
      </w:r>
      <w:r>
        <w:t xml:space="preserve"> В прикладном контексте профили предлагается использовать не как жёсткую типологию или автоматическое правило решений, а как слой decision support: для выбора сопоставимых территорий, приоритизации локальной проверки рынка, мониторинга структурных сдвигов и поиска аномалий. Для пограничных и контекстно-зависимых профилей в работе отдельно фиксируются ограничения такого использования.</w:t>
      </w:r>
    </w:p>
    <w:p>
      <w:pPr>
        <w:ind w:firstLine="0"/>
      </w:pPr>
      <w:r>
        <w:rPr>
          <w:b/>
        </w:rPr>
        <w:t xml:space="preserve">Ключевые слова: </w:t>
      </w:r>
      <w:r>
        <w:t>атрибутированные сети, муниципальные образования, безналичные расходы, community detection, Louvain, Leiden, compositional data, CLR, robustness, spatial analysis.</w:t>
      </w:r>
    </w:p>
    <w:p>
      <w:pPr>
        <w:pStyle w:val="Heading2"/>
        <w:keepNext/>
        <w:pageBreakBefore/>
      </w:pPr>
      <w:r>
        <w:t>Краткий ответ на три вопроса конкурса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7"/>
              </w:rPr>
              <w:t>Вопрос конкурса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7"/>
              </w:rPr>
              <w:t>Ответ исследования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Что найдено?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Не семь одинаково устойчивых «типов», а многоуровневая сетевая структура спроса: воспроизводимые ядра и подтипы, контекстно-чувствительные режимы, пограничные популяции и неподдержанные фрагменты. Особенно важен разрыв между устойчивостью ядра и устойчивостью точной границы.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Почему этому можно доверять?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Reference pipeline воспроизводится точно; результаты проверены по k, ω и α, spatial matched-null, административным и population/density controls, Louvain→Leiden и каноническим perturbation v2 с 50 запусками. Невоспроизводимый pilot n=5 и исторические значения S_Dbw исключены из количественной evidence.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Как использовать?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7"/>
              </w:rPr>
              <w:t>Как инструмент сравнения и приоритизации: формировать peer-группы муниципалитетов, выбирать территории для дополнительной рыночной/управленческой диагностики, отслеживать изменение структуры спроса и выявлять аномалии. Профили не заменяют локальную валидацию, причинную модель или решение о субсидии/инвестиции.</w:t>
            </w:r>
          </w:p>
        </w:tc>
      </w:tr>
    </w:tbl>
    <w:p>
      <w:r>
        <w:rPr>
          <w:i/>
        </w:rPr>
        <w:t>Практический принцип: чем ниже устойчивость точного членства (например, у F или части G), тем меньше вес профиля в конкретном решении и тем выше необходимость индивидуальной проверки территории.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1. Введение</w:t>
      </w:r>
    </w:p>
    <w:p>
      <w:pPr>
        <w:ind w:firstLine="0"/>
      </w:pPr>
      <w:r>
        <w:t>2. Данные и подготовка выборки</w:t>
      </w:r>
    </w:p>
    <w:p>
      <w:pPr>
        <w:ind w:firstLine="0"/>
      </w:pPr>
      <w:r>
        <w:t>3. Методика построения атрибутированной сети</w:t>
      </w:r>
    </w:p>
    <w:p>
      <w:pPr>
        <w:ind w:firstLine="0"/>
      </w:pPr>
      <w:r>
        <w:t>4. Сравнение альтернативных методов</w:t>
      </w:r>
    </w:p>
    <w:p>
      <w:pPr>
        <w:ind w:firstLine="0"/>
      </w:pPr>
      <w:r>
        <w:t>5. Базовые результаты временной сети</w:t>
      </w:r>
    </w:p>
    <w:p>
      <w:pPr>
        <w:ind w:firstLine="0"/>
      </w:pPr>
      <w:r>
        <w:t>6. Проверка гипотез и robustness</w:t>
      </w:r>
    </w:p>
    <w:p>
      <w:pPr>
        <w:ind w:firstLine="0"/>
      </w:pPr>
      <w:r>
        <w:t>7. Итоговая интерпретация профилей A–G</w:t>
      </w:r>
    </w:p>
    <w:p>
      <w:pPr>
        <w:ind w:firstLine="0"/>
      </w:pPr>
      <w:r>
        <w:t>8. ICVI и forensic-аудит S_Dbw</w:t>
      </w:r>
    </w:p>
    <w:p>
      <w:pPr>
        <w:ind w:firstLine="0"/>
      </w:pPr>
      <w:r>
        <w:t>9. Обсуждение и ограничения</w:t>
      </w:r>
    </w:p>
    <w:p>
      <w:pPr>
        <w:ind w:firstLine="0"/>
      </w:pPr>
      <w:r>
        <w:t>10. Заключение</w:t>
      </w:r>
    </w:p>
    <w:p>
      <w:pPr>
        <w:ind w:firstLine="0"/>
      </w:pPr>
      <w:r>
        <w:t>Список источников</w:t>
      </w:r>
    </w:p>
    <w:p>
      <w:pPr>
        <w:ind w:firstLine="0"/>
      </w:pPr>
      <w:r>
        <w:t>Приложение. Воспроизводимость и evidence freeze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1.1. Актуальность</w:t>
      </w:r>
    </w:p>
    <w:p>
      <w:r>
        <w:t>Муниципальные территории различаются не только абсолютным объёмом потребительских расходов, но и их внутренней структурой. Один и тот же уровень трат может сочетаться с различной долей продовольствия, маркетплейсов, общественного питания, транспорта и расходов, связанных со здоровьем. Обычная табличная кластеризация отражает сходство признаков, но не использует сетевое представление отношений между территориями и плохо отделяет устойчивые ядра от пограничных объектов.</w:t>
      </w:r>
    </w:p>
    <w:p>
      <w:r>
        <w:t>Атрибутированная сеть позволяет рассматривать муниципалитеты одновременно как объекты с экономическими признаками и как вершины графа локального сходства. Временная версия такой сети добавляет третье измерение: можно анализировать не только структуру одного месяца, но и устойчивость принадлежности муниципалитетов к сетевым сообществам во времени. При этом community detection остаётся чувствительным к способу построения графа, параметрам, алгоритму и контекстным переменным. Поэтому ключевой задачей становится не только найти сообщества, но и проверить, что именно в них воспроизводится.</w:t>
      </w:r>
    </w:p>
    <w:p>
      <w:pPr>
        <w:pStyle w:val="Heading2"/>
      </w:pPr>
      <w:r>
        <w:t>1.2. Цель, исследовательский вопрос и задачи</w:t>
      </w:r>
    </w:p>
    <w:p>
      <w:r>
        <w:t>Цель работы — выявить и интерпретировать сетевую структуру локального безналичного потребительского спроса муниципальных образований России и оценить устойчивость найденных структур к методологическим, пространственным и алгоритмическим изменениям.</w:t>
      </w:r>
    </w:p>
    <w:p>
      <w:r>
        <w:t>Исследовательский вопрос: существует ли воспроизводимая многоуровневая организация муниципальных профилей спроса, которая не сводится к одному алгоритму, одной настройке графа или простому административно-пространственному контексту?</w:t>
      </w:r>
    </w:p>
    <w:p>
      <w:pPr>
        <w:pStyle w:val="ListNumber"/>
        <w:ind w:left="397" w:firstLine="0"/>
      </w:pPr>
      <w:r>
        <w:t>Сформировать строгую сбалансированную панель муниципальных расходов за 2023–2024 годы.</w:t>
      </w:r>
    </w:p>
    <w:p>
      <w:pPr>
        <w:pStyle w:val="ListNumber"/>
        <w:ind w:left="397" w:firstLine="0"/>
      </w:pPr>
      <w:r>
        <w:t>Построить признаковое пространство, корректно учитывающее композиционную природу структуры расходов и отдельный уровень расходов.</w:t>
      </w:r>
    </w:p>
    <w:p>
      <w:pPr>
        <w:pStyle w:val="ListNumber"/>
        <w:ind w:left="397" w:firstLine="0"/>
      </w:pPr>
      <w:r>
        <w:t>Преобразовать признаковое пространство во взвешенную атрибутированную сеть и 24-слойную временную supra-сеть.</w:t>
      </w:r>
    </w:p>
    <w:p>
      <w:pPr>
        <w:pStyle w:val="ListNumber"/>
        <w:ind w:left="397" w:firstLine="0"/>
      </w:pPr>
      <w:r>
        <w:t>Сопоставить альтернативные способы измерения сходства, построения графа и кластеризации.</w:t>
      </w:r>
    </w:p>
    <w:p>
      <w:pPr>
        <w:pStyle w:val="ListNumber"/>
        <w:ind w:left="397" w:firstLine="0"/>
      </w:pPr>
      <w:r>
        <w:t>Оценить внутренние и сетевые показатели качества сообществ и отделить валидные метрики от невоспроизводимых.</w:t>
      </w:r>
    </w:p>
    <w:p>
      <w:pPr>
        <w:pStyle w:val="ListNumber"/>
        <w:ind w:left="397" w:firstLine="0"/>
      </w:pPr>
      <w:r>
        <w:t>Проверить чувствительность результатов к k, ω, α, пространственной структуре, административной форме, численности/плотности населения и алгоритму community detection.</w:t>
      </w:r>
    </w:p>
    <w:p>
      <w:pPr>
        <w:pStyle w:val="ListNumber"/>
        <w:ind w:left="397" w:firstLine="0"/>
      </w:pPr>
      <w:r>
        <w:t>Провести воспроизводимый high-rep perturbation test и интерпретировать отдельно устойчивость ядра и устойчивость границы.</w:t>
      </w:r>
    </w:p>
    <w:p>
      <w:pPr>
        <w:pStyle w:val="ListNumber"/>
        <w:ind w:left="397" w:firstLine="0"/>
      </w:pPr>
      <w:r>
        <w:t>Сформулировать выводы без сведения неодинаково сильных профилей к одной жёсткой типологии.</w:t>
      </w:r>
    </w:p>
    <w:p>
      <w:r>
        <w:t>9.  Перевести устойчивые результаты в прикладной decision-support слой: peer benchmarking, screening территорий, мониторинг структурных сдвигов и выявление объектов для углублённой диагностики с явными правилами использования.</w:t>
      </w:r>
    </w:p>
    <w:p>
      <w:pPr>
        <w:pStyle w:val="Heading2"/>
      </w:pPr>
      <w:r>
        <w:t>1.3. Научная новизна и принцип интерпретации</w:t>
      </w:r>
    </w:p>
    <w:p>
      <w:r>
        <w:t>Новизна работы состоит в переходе от поиска единственного «лучшего» разбиения к многоосевой проверке evidence. В исследовании различаются: (а) внутренняя компактность в пространстве атрибутов; (б) сетевая изоляция; (в) устойчивость точных границ; (г) временная устойчивость; (д) алгоритмическая устойчивость; (е) устойчивость к контролю пространственного и демографического контекста. Высокий показатель по одной оси не трактуется как доказательство по всем остальным.</w:t>
      </w:r>
    </w:p>
    <w:p>
      <w:pPr>
        <w:pStyle w:val="Heading1"/>
      </w:pPr>
      <w:r>
        <w:t>2. Данные и подготовка выборки</w:t>
      </w:r>
    </w:p>
    <w:p>
      <w:pPr>
        <w:pStyle w:val="Heading2"/>
      </w:pPr>
      <w:r>
        <w:t>2.1. Основной набор расходов</w:t>
      </w:r>
    </w:p>
    <w:p>
      <w:r>
        <w:t>Основой служит набор СберИндекса «Потребительские безналичные расходы на уровне муниципальных образований»: ежемесячные данные за январь 2023 — декабрь 2024 года. После аудита исходных текстовых наименований, повторяющихся территориальных серий и полноты наблюдений сформирована строгая сбалансированная панель 1904 муниципальных образований, каждое из которых присутствует во всех 24 месяцах.</w:t>
      </w:r>
    </w:p>
    <w:p>
      <w:r>
        <w:t>В исходных данных используются категории «Продовольствие», «Здоровье», «Общественное питание», «Маркетплейсы», «Транспорт» и общий объём расходов. Шестая композиционная часть рассчитывается технически:</w:t>
      </w:r>
    </w:p>
    <w:p>
      <w:pPr>
        <w:pStyle w:val="Formula"/>
      </w:pPr>
      <w:r>
        <w:t>Other = Total − Food − Health − Catering − Marketplace − Transport.</w:t>
      </w:r>
    </w:p>
    <w:p>
      <w:r>
        <w:t>В исследовании Other не трактуется как содержательно однородный сектор. Это остаточная компонента, необходимая для замыкания композиции. В строгой панели она положительна во всех наблюдениях, поэтому CLR-преобразование не требует искусственной псевдосчётной поправки.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tblHeader w:val="true"/>
        </w:trPr>
        <w:tc>
          <w:tcPr>
            <w:tcW w:type="dxa" w:w="3969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Период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январь 2023 — декабрь 2024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Число месяцев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Муниципалитеты в строгой панели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1904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Муниципалитет-месяцев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45 696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Именованные категории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Композиционных частей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6, включая технический Other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Единица анализа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муниципальное образование × месяц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1. Структура основной аналитической панели.</w:t>
      </w:r>
    </w:p>
    <w:p>
      <w:pPr>
        <w:pStyle w:val="Heading2"/>
      </w:pPr>
      <w:r>
        <w:t>2.2. Территориальное сопоставление и геометрия</w:t>
      </w:r>
    </w:p>
    <w:p>
      <w:r>
        <w:t>Для пространственных проверок построен исторически согласованный crosswalk с ОКТМО. Из 1904 строк 1887 получены детерминированным сопоставлением исторических публикаций ОКТМО, 13 — ручным аудитом высокой уверенности и 4 — provisional-сопоставлением, для которых все spatial-выводы дополнительно проверялись с исключением этих строк. Геометрия была присоединена для 1903 из 1904 муниципалитетов (99,95%). Единственный отсутствующий полигон относится к одному участнику G: поэтому в негеографических таблицах G имеет n=965, а в polygon-based spatial analyses используется n=964. Общая панель по-прежнему содержит 1904 МО: семь крупных A–G охватывают 1899, ещё 5 входят в три микросообщества 2+2+1.</w:t>
      </w:r>
    </w:p>
    <w:p>
      <w:r>
        <w:t>Отдельный пространственный слой использован не как внешняя «валидация», а как способ проверить, не является ли компактность профилей тривиальным следствием географической близости. Это принципиально: пространственная кластеризация сама по себе не доказывает экономическую самостоятельность профиля.</w:t>
      </w:r>
    </w:p>
    <w:p>
      <w:pPr>
        <w:pStyle w:val="Heading2"/>
      </w:pPr>
      <w:r>
        <w:t>2.3. Население, площадь и плотность</w:t>
      </w:r>
    </w:p>
    <w:p>
      <w:r>
        <w:t>Численность населения муниципальных образований сопоставлялась по официальным данным Росстата на 01.01.2024 и 01.01.2025. Использование двух срезов позволило сохранить дореформенные территории 2024 года и избежать механического присвоения населению старого муниципалитета значения нового укрупнённого образования. Площадь вычислялась по полигональной геометрии, а плотность — как отношение населения к площади. Итоговый контроль population+density покрывает 1903 из 1904 территорий.</w:t>
      </w:r>
    </w:p>
    <w:p>
      <w:pPr>
        <w:pStyle w:val="Heading2"/>
      </w:pPr>
      <w:r>
        <w:t>2.4. Данные мобильности как вспомогательная триангуляция</w:t>
      </w:r>
    </w:p>
    <w:p>
      <w:r>
        <w:t>Индекс мобильности использован только как вспомогательный источник. Его покрытие существенно различается между административными формами и профилями, поэтому он не рассматривается как независимая репрезентативная внешняя валидация. Ранний transductive incremental-AUC тест был отозван после обнаружения leakage. Исправленный fold-aware вариант дал AUC 0,8266 для базовой модели и 0,8301 после добавления community-признака; ΔAUC=0,00344, bootstrap 95% CI [−0,00623; 0,01287], p≈0,469. Этот результат не доказывает ни положительную incremental predictive information, ни её отсутствие: при имеющемся покрытии тест остаётся неразрешающим, а точечный эффект мал.</w:t>
      </w:r>
    </w:p>
    <w:p>
      <w:pPr>
        <w:pStyle w:val="Heading1"/>
      </w:pPr>
      <w:r>
        <w:t>3. Методика построения атрибутированной сети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0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1. Полный аналитический конвейер исследования. Параметры reference specification фиксируются до robustness-проверок.</w:t>
      </w:r>
    </w:p>
    <w:p>
      <w:pPr>
        <w:pStyle w:val="Heading2"/>
      </w:pPr>
      <w:r>
        <w:t>3.1. Композиционный блок</w:t>
      </w:r>
    </w:p>
    <w:p>
      <w:r>
        <w:t>Доли категорий относятся к композиционным данным: увеличение одной доли автоматически изменяет остальные. Поэтому обычная евклидова геометрия долей может создавать ложные корреляции. Используется centred log-ratio (CLR) преобразование, классическое для анализа compositional data [5]. Для композиции x=(x₁,…,x_D):</w:t>
      </w:r>
    </w:p>
    <w:p>
      <w:pPr>
        <w:pStyle w:val="Formula"/>
      </w:pPr>
      <w:r>
        <w:t>clr(xᵢ) = ln(xᵢ / g(x)), где g(x) — геометрическое среднее D частей.</w:t>
      </w:r>
    </w:p>
    <w:p>
      <w:r>
        <w:t>Евклидово расстояние между CLR-векторами эквивалентно Aitchison distance. Это позволяет измерять сходство структуры расходов через относительные отношения категорий, а не через абсолютные рубли.</w:t>
      </w:r>
    </w:p>
    <w:p>
      <w:pPr>
        <w:pStyle w:val="Heading2"/>
      </w:pPr>
      <w:r>
        <w:t>3.2. Блок общего уровня расходов</w:t>
      </w:r>
    </w:p>
    <w:p>
      <w:r>
        <w:t>Общий уровень расходов не включается непосредственно в композицию, чтобы не смешивать две разные сущности: структуру и масштаб. Для каждого месяца используется log(Total), центрированный медианой и нормированный через MAD:</w:t>
      </w:r>
    </w:p>
    <w:p>
      <w:pPr>
        <w:pStyle w:val="Formula"/>
      </w:pPr>
      <w:r>
        <w:t>z_level = [log(Total) − median(log(Total))] / [1,4826 × MAD(log(Total))].</w:t>
      </w:r>
    </w:p>
    <w:p>
      <w:r>
        <w:t>Месячная робастная нормировка уменьшает влияние общего сдвига масштаба между месяцами. Она не устраняет локальную инфляцию и не является дефлятором.</w:t>
      </w:r>
    </w:p>
    <w:p>
      <w:pPr>
        <w:pStyle w:val="Heading2"/>
      </w:pPr>
      <w:r>
        <w:t>3.3. Объединение блоков</w:t>
      </w:r>
    </w:p>
    <w:p>
      <w:r>
        <w:t>Перед объединением два блока масштабируются по медиане попарных расстояний внутри каждого блока. Reference-вектор задаётся как:</w:t>
      </w:r>
    </w:p>
    <w:p>
      <w:pPr>
        <w:pStyle w:val="Formula"/>
      </w:pPr>
      <w:r>
        <w:t>X = [ √0,70 × CLR / m_CLR ;  √0,30 × z_level / m_level ].</w:t>
      </w:r>
    </w:p>
    <w:p>
      <w:r>
        <w:t>Вес α=0,70/0,30 — reference specification, а не оптимально подобранное соотношение. Чувствительность проверена отдельно для 0,50/0,50 и 0,90/0,10.</w:t>
      </w:r>
    </w:p>
    <w:p>
      <w:pPr>
        <w:pStyle w:val="Heading2"/>
      </w:pPr>
      <w:r>
        <w:t>3.4. Месячный граф сходства</w:t>
      </w:r>
    </w:p>
    <w:p>
      <w:r>
        <w:t>Для каждого месяца строится взвешенный неориентированный mutual-kNN-граф. Ребро между i и j существует только тогда, когда каждая вершина входит в k ближайших соседей другой. В reference specification k=20. При статическом benchmark изолированные вершины получают связь с ближайшим соседом; во временной модели такой fallback не применяется, чтобы не вводить искусственные межмесячные структуры.</w:t>
      </w:r>
    </w:p>
    <w:p>
      <w:pPr>
        <w:pStyle w:val="Formula"/>
      </w:pPr>
      <w:r>
        <w:t>wᵢⱼ = exp[ −dᵢⱼ² / (σᵢ σⱼ) ],</w:t>
      </w:r>
    </w:p>
    <w:p>
      <w:r>
        <w:t>где σᵢ — расстояние от i до k-го соседа. Такая adaptive RBF-взвешенность учитывает локальную плотность признакового пространства.</w:t>
      </w:r>
    </w:p>
    <w:p>
      <w:r>
        <w:t>k=20 выбран post hoc как структурная reference specification: это первый из явно проверенных k, при котором декабрьский статический граф после fallback становится связным. Это не означает статистической оптимальности k=20.</w:t>
      </w:r>
    </w:p>
    <w:p>
      <w:pPr>
        <w:pStyle w:val="Heading2"/>
      </w:pPr>
      <w:r>
        <w:t>3.5. Временная supra-сеть</w:t>
      </w:r>
    </w:p>
    <w:p>
      <w:r>
        <w:t>24 месячных графа объединяются в supra-network из 45 696 копий муниципалитетов. Копии одной территории в соседних месяцах соединяются identity-ребром. Его вес равен ω, умноженному на глобальную медиану внутрислойных весов. Reference: ω=2. Малые ω допускают частые переключения сообществ, большие усиливают временную инерцию.</w:t>
      </w:r>
    </w:p>
    <w:p>
      <w:pPr>
        <w:pStyle w:val="Heading2"/>
      </w:pPr>
      <w:r>
        <w:t>3.6. Community detection</w:t>
      </w:r>
    </w:p>
    <w:p>
      <w:r>
        <w:t>Reference partition строится алгоритмом Louvain [6] с resolution=0,5 и seed=0. Leiden [7] используется как независимая алгоритмическая robustness-проверка на том же графе, с теми же весами и resolution. Leiden не подбирался для получения того же числа сообществ. В отдельном static benchmark также использованы Greedy Modularity, Spectral clustering, KMeans и Ward.</w:t>
      </w:r>
    </w:p>
    <w:p>
      <w:pPr>
        <w:pStyle w:val="Heading2"/>
      </w:pPr>
      <w:r>
        <w:t>3.7. Метрики и логика доказательств</w:t>
      </w:r>
    </w:p>
    <w:p>
      <w:r>
        <w:t>Для разных аспектов качества использованы SW (silhouette), нормированный CH/N, AVI, AVU и MQ. Они оценивают разные свойства и не сворачиваются в единый «балл победителя». S_Dbw рассматривался как требуемый ICVI, но итоговый forensic-аудит показал математическую неопределённость при заявленной строгой реализации; подробности приведены в разделе 8.</w:t>
      </w:r>
    </w:p>
    <w:p>
      <w:r>
        <w:t>Сходство разбиений оценивается ARI и NMI. Для отдельных A–G используются retention (какая доля исходного профиля попала в его лучший соответствующий кластер), precision (какая доля найденного кластера принадлежит исходному профилю), Jaccard и within-/cross-pair coassignment. Это позволяет различать «сохранилось ядро» и «сохранилась точная граница».</w:t>
      </w:r>
    </w:p>
    <w:p>
      <w:pPr>
        <w:pStyle w:val="Heading1"/>
      </w:pPr>
      <w:r>
        <w:t>4. Сравнение альтернативных методов</w:t>
      </w:r>
    </w:p>
    <w:p>
      <w:pPr>
        <w:pStyle w:val="Heading2"/>
      </w:pPr>
      <w:r>
        <w:t>4.1. Способы измерения сходства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</w:trPr>
        <w:tc>
          <w:tcPr>
            <w:tcW w:type="dxa" w:w="238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Сходство</w:t>
            </w:r>
          </w:p>
        </w:tc>
        <w:tc>
          <w:tcPr>
            <w:tcW w:type="dxa" w:w="56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K</w:t>
            </w:r>
          </w:p>
        </w:tc>
        <w:tc>
          <w:tcPr>
            <w:tcW w:type="dxa" w:w="102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Компоненты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SW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CH/N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AVI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AVU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MQ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Aitchison+level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0.909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0.765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Cosine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0.133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0.418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0.914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0.757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Correlation trajectory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-0.177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0.935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0.391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0.785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Lagged correlation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-0.237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0.937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0.299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0.768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DTW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-0.020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0.180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0.967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0.436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0.842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2. Static benchmark способов сходства при mutual-kNN20. Исторический S_Dbw исключён из canonical evidence.</w:t>
      </w:r>
    </w:p>
    <w:p>
      <w:r>
        <w:t>Ни один способ не доминирует по всем критериям. Trajectory-correlation и lag-correlation дают отрицательный SW и более фрагментированные графы; DTW лучше воспроизводит локальные траектории, но также образует несколько компонент. Aitchison+level сохраняет связность reference-графа и одновременно имеет положительную метрическую разделимость, поэтому принят как базовая конструкция. Это выбор рабочей модели, а не объявление абсолютного победителя.</w:t>
      </w:r>
    </w:p>
    <w:p>
      <w:pPr>
        <w:pStyle w:val="Heading2"/>
      </w:pPr>
      <w:r>
        <w:t>4.2. Алгоритмы кластеризации на одной геометрии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</w:trPr>
        <w:tc>
          <w:tcPr>
            <w:tcW w:type="dxa" w:w="198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Метод</w:t>
            </w:r>
          </w:p>
        </w:tc>
        <w:tc>
          <w:tcPr>
            <w:tcW w:type="dxa" w:w="56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K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SW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CH/N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AVI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AVU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MQ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Louvain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0.176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0.765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Greedy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0.188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0.267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0.842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0.346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0.527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Spectral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0.187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0.439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0.911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0.467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0.722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KMeans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0.204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0.590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0.849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0.534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0.730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Ward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0.172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0.504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0.838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0.494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0.726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3. Сравнение алгоритмов для Aitchison+level. KMeans и Ward — attribute-only baselines; сетевые метрики рассчитаны относительно reference-графа.</w:t>
      </w:r>
    </w:p>
    <w:p>
      <w:r>
        <w:t>KMeans показывает более высокие SW и CH/N, тогда как сетевые методы дают иные преимущества по изоляции и модульности. Следовательно, задача не сводится к максимизации одного ICVI. Louvain выбран как reference для временной сети, а Leiden используется как algorithm-swap test.</w:t>
      </w:r>
    </w:p>
    <w:p>
      <w:pPr>
        <w:pStyle w:val="Heading1"/>
      </w:pPr>
      <w:r>
        <w:t>5. Базовые результаты временной сети</w:t>
      </w:r>
    </w:p>
    <w:p>
      <w:pPr>
        <w:pStyle w:val="Heading2"/>
      </w:pPr>
      <w:r>
        <w:t>5.1. Reference temporal partition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tblHeader w:val="true"/>
        </w:trPr>
        <w:tc>
          <w:tcPr>
            <w:tcW w:type="dxa" w:w="4819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Reference ω=2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Число supra-сообществ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Среднее число сообществ в месяце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10,0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Среднее число переключений на МО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1,339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Медиана переключений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Без переключений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476 из 1904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 более 2 переключений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1624 из 1904 (85,3%)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Средний monthly SW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0,124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4. Основные параметры временного разбиения при ω=2.</w:t>
      </w:r>
    </w:p>
    <w:p>
      <w:r>
        <w:t>В декабре 2024 года temporal partition содержит 10 сообществ. Семь крупных сообществ охватывают 1899 муниципалитетов и далее обозначаются A–G. Три микросообщества размером 2, 2 и 1 объект трактуются как технические/аномальные структуры и не получают содержательной интерпретации. Это декабрьский срез временной модели и его нельзя смешивать с отдельным static benchmark декабря, где reference Louvain даёт K=9.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</w:trPr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Профиль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58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Медиана Total, руб.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Food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Catering</w:t>
            </w:r>
          </w:p>
        </w:tc>
        <w:tc>
          <w:tcPr>
            <w:tcW w:type="dxa" w:w="102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Marketplace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Transport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Other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141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50 976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0.397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0.037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0.133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0.333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67 496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0.288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0.146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0.367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28 058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0.328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0.025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0.241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0.272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153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42 282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0.377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0.301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186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56 925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0.320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327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36 129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0.416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0.028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0.187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0.051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0.279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965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27 422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0.212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0.237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5. Декабрьские медианные характеристики A–G. Other — технический остаток, не самостоятельный сектор.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44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map_pro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44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2. Пространственное распределение A–G. B заметно концентрируется во внутригородских территориях федеральных городов, тогда как D/F/G географически шире. Карта используется как описательная визуализация и мотивация spatial matched-null, а не как доказательство самостоятельности профилей.</w:t>
      </w:r>
    </w:p>
    <w:p>
      <w:pPr>
        <w:pStyle w:val="Heading1"/>
      </w:pPr>
      <w:r>
        <w:t>6. Проверка гипотез и robustness</w:t>
      </w:r>
    </w:p>
    <w:p>
      <w:pPr>
        <w:pStyle w:val="Heading2"/>
      </w:pPr>
      <w:r>
        <w:t>6.1. Почему robustness важнее одной красивой кластеризации</w:t>
      </w:r>
    </w:p>
    <w:p>
      <w:r>
        <w:t>Любая кластеризация содержит элемент модельного выбора. Поэтому основной вывод работы опирается не на один запуск, а на серию заранее разделённых тестов. Одни тесты меняют параметр графа, другие — алгоритм, третьи — контекстные переменные. Это позволяет установить, что именно остаётся устойчивым.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Гипотеза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Формулировка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Статус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В данных существует воспроизводимая многоуровневая сетевая организация на уровне крупных ядер, но не единственное точное разбиение.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SUPPORTED_</w:t>
              <w:br/>
              <w:t>WITHIN_SCOPE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Крупные ядра повторяются при k/ω/α-sensitivity, Leiden и perturbation v2; exact labels и temporal trajectories существенно менее стабильны.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A–G образуют семь равноправных устойчивых архетипов.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Профили имеют разные статусы; C отвергнут, F пограничен, B ограничен федерально-внутригородской стратой, E/G контекстно ослабевают.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H3a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D и F сохраняют дополнительную compactness после измеренного admin/spatial/population/density-контроля.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CONDITIONAL_</w:t>
              <w:br/>
              <w:t>SPECIFICATION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Residual signal сохраняется, но заметно ослабевает и зависит от residualization/specification; у D combined R≈0,874, у F ≈0,85.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H3b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E и G сохраняют сильную самостоятельную compactness сверх admin/population/density-контекста.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После combined controls E≈0,967 и G≈0,954 — близко к matched null; это не доказывает нулевой эффект, но не поддерживает сильную самостоятельность.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H3c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C сохраняет самостоятельную compactness сверх административного, пространственного и demographic context.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Admin-stratified, spatial/region×admin и population/density controls согласованно не поддерживают beyond-context compactness.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H4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Временные переходы отражают диффузию/lead–lag распространение.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После circular-shift null число направленных связей не превышает ожидание; причинная диффузия не установлена.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H5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Community membership даёт устойчивую дополнительную predictive information для mobility.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UNRESOLVED_</w:t>
              <w:br/>
              <w:t>METHOD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Fold-aware ΔAUC≈0,0034; 95% CI [−0,00623; 0,01287]. Текущий тест не различает небольшой положительный эффект, ноль и небольшой отрицательный эффект.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H6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Точная разметка устойчива к algorithm swap и небольшим возмущениям.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2438"/>
          </w:tcPr>
          <w:p>
            <w:pPr>
              <w:spacing w:before="0" w:after="0"/>
            </w:pPr>
            <w:r>
              <w:rPr>
                <w:sz w:val="17"/>
              </w:rPr>
              <w:t>Leiden full-supra ARI≈0,440; perturbation v2 mean≈0,498. Сохраняются отдельные ядра, но не точные границы.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6. Итоги проверки ключевых исследовательских гипотез.</w:t>
      </w:r>
    </w:p>
    <w:p>
      <w:pPr>
        <w:pStyle w:val="Heading2"/>
      </w:pPr>
      <w:r>
        <w:t>6.2. Чувствительность к 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</w:trPr>
        <w:tc>
          <w:tcPr>
            <w:tcW w:type="dxa" w:w="56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k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Рёбра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Средняя степень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Изоляты до fallback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Компоненты после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Мосты</w:t>
            </w:r>
          </w:p>
        </w:tc>
        <w:tc>
          <w:tcPr>
            <w:tcW w:type="dxa" w:w="102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Clustering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5842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6.14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0.332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8759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9.20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0.365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11787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12.38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0.386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17847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18.75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0.419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29990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31.50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0.452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7. Топологическая чувствительность static-графа декабря.</w:t>
      </w:r>
    </w:p>
    <w:p>
      <w:r>
        <w:t>При k=10 и 15 граф после fallback остаётся несвязным; k=20 — первый из проверенных уровней, где он становится связным. При k=30 и 50 связность сохраняется, но число сообществ уменьшается, а границы отдельных профилей заметно меняются. Поэтому k=20 используется как post-hoc structural reference, а k=30 и k=50 — robustness specifications.</w:t>
      </w:r>
    </w:p>
    <w:p>
      <w:pPr>
        <w:pStyle w:val="Heading2"/>
      </w:pPr>
      <w:r>
        <w:t>6.3. Чувствительность к 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85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ω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monthly SW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Среднее переключений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Без переключений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≤2 переключений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12.41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8.53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6.50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1624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1691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8. Влияние межслойной связи ω на временную устойчивость.</w:t>
      </w:r>
    </w:p>
    <w:p>
      <w:r>
        <w:t>При малых ω структура слишком подвижна: при ω=0,25 среднее число переключений превышает 12. При ω=2 оно снижается до 1,34, а 85,3% муниципалитетов имеют не более двух переключений. При ω=4 инерция ещё сильнее, но меняется число сообществ и часть границ. Поэтому ω=2 оставлен reference, а ω=4 — robustness-проверкой, а не «оптимумом».</w:t>
      </w:r>
    </w:p>
    <w:p>
      <w:pPr>
        <w:pStyle w:val="Heading2"/>
      </w:pPr>
      <w:r>
        <w:t>6.4. Чувствительность к 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</w:trPr>
        <w:tc>
          <w:tcPr>
            <w:tcW w:type="dxa" w:w="680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α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Supra K</w:t>
            </w:r>
          </w:p>
        </w:tc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Dec K</w:t>
            </w:r>
          </w:p>
        </w:tc>
        <w:tc>
          <w:tcPr>
            <w:tcW w:type="dxa" w:w="136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Full ARI vs .70</w:t>
            </w:r>
          </w:p>
        </w:tc>
        <w:tc>
          <w:tcPr>
            <w:tcW w:type="dxa" w:w="136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Dec ARI vs .70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Mean switches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≤2 switch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0.5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0.556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0.737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1.46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82.9%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0.7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1.000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1.34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85.3%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0.9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0.479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0.736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1.84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76.6%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9. Чувствительность temporal partition к весу CLR-композиции.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91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alpha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3. α существенно влияет на точные границы. Значение 0,70 сохраняется как reference, но не объявляется оптимальным.</w:t>
      </w:r>
    </w:p>
    <w:p>
      <w:r>
        <w:t>Крупные ядра A/B/E/G в декабре в основном сохраняются, но тонкие границы меняются. Особенно чувствительны D/F и F/G. При α=0,90 static mutual-kNN20 после fallback уже имеет 5 компонент, тогда как при 0,50 и 0,70 он связен. Это подтверждает, что блок общего уровня расходов нельзя полностью подавлять без изменения топологии сети.</w:t>
      </w:r>
    </w:p>
    <w:p>
      <w:pPr>
        <w:pStyle w:val="Heading2"/>
      </w:pPr>
      <w:r>
        <w:t>6.5. Пространственный matched-null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794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Профиль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Median R по spatial blocks</w:t>
            </w:r>
          </w:p>
        </w:tc>
        <w:tc>
          <w:tcPr>
            <w:tcW w:type="dxa" w:w="90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Min</w:t>
            </w:r>
          </w:p>
        </w:tc>
        <w:tc>
          <w:tcPr>
            <w:tcW w:type="dxa" w:w="907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Max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Region×admin 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0.855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0.776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0.847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0.755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0.755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0.794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0.751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0.947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0.926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1.056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1.034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0.415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0.402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0.439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0.431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0.507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0.415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0.560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0.570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0.606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0.587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0.633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0.623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0.826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0.799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0.852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0.846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10. Spatial robustness: R = наблюдаемая средняя внутригрупповая дистанция / matched-null. R&lt;1 означает дополнительную компактность.</w:t>
      </w:r>
    </w:p>
    <w:p>
      <w:r>
        <w:t>D, E и F сохраняют выраженную компактность после пространственного контроля. G и A — более умеренную. Для C получена согласованная отрицательная картина сразу в нескольких контролях: admin-stratified null ранее не дал значимого excess compactness, spatial specifications пересекают R=1, region×admin даёт R≈1,034, а population/density controls далее приводят к R&gt;1. Эти проверки используют связанные данные и поэтому не являются статистически независимыми, но они согласованно не поддерживают C как beyond-context профиль. Пространственная автокорреляция C существует, однако сама по себе не является доказательством содержательной самостоятельности.</w:t>
      </w:r>
    </w:p>
    <w:p>
      <w:pPr>
        <w:pStyle w:val="Heading2"/>
      </w:pPr>
      <w:r>
        <w:t>6.6. Population/density controls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49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continuous_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4. Остаточная компактность после контроля численности населения, плотности и административной формы. Наиболее показательные сдвиги: D ≈0,418→0,878→0,874; E ≈0,515→0,739→0,967; G ≈0,836→0,964→0,954 (raw → population+density → combined). Чем ближе R к 1, тем меньше дополнительная compactness сверх matched context.</w:t>
      </w:r>
    </w:p>
    <w:p>
      <w:r>
        <w:t>Population и density являются сильными сопутствующими факторами. После их удаления residual compactness ослабевает у всех крупных профилей. Особенно важны изменения E и G. Для E raw R≈0,515, после pop+density R≈0,739, а после admin+pop+density R≈0,967 — почти matched null. Это означает, что в выбранной residualization/matched-null постановке у E остаётся мало дополнительной compactness сверх измеренного контекста; это не является причинным доказательством того, что E «объясняется плотностью». Для G значения меняются примерно 0,836 → 0,964 → 0,954. D сохраняет residual signal (≈0,874 после combined controls), но его исходная очень сильная compactness заметно уменьшается; поэтому воспроизводимость ядра D следует понимать как algorithm/perturbation stability, а не как независимость от urban scale и плотности. C после continuous controls имеет R&gt;1, что усиливает его отклонение.</w:t>
      </w:r>
    </w:p>
    <w:p>
      <w:pPr>
        <w:pStyle w:val="Heading2"/>
      </w:pPr>
      <w:r>
        <w:t>6.7. Leiden: алгоритмическая устойчивость</w:t>
      </w:r>
    </w:p>
    <w:p>
      <w:r>
        <w:t>Перед algorithm swap baseline и граф прошли воспроизводимые gates: reference Louvain восстановлен с ARI=NMI=1; static и supra graphs совпали по числу узлов, рёбер и checksum весов. Leiden запускался на идентичном графе без подбора resolution. Сходство с Louvain составило full-supra ARI≈0,4403 и Dec-2024 ARI≈0,7075. Это означает, что декабрьская крупная структура воспроизводится заметно лучше, чем точная 24-месячная траектория разбиения.</w:t>
      </w:r>
    </w:p>
    <w:p>
      <w:r>
        <w:t>На уровне отдельных профилей Leiden сохраняет ядра A, B, D, E и G значительно лучше, чем глобальную разметку. Например, D retention≈0,987 при precision≈0,475: почти всё исходное ядро D оказывается вместе, но альтернативный алгоритм присоединяет к нему много не-D территорий. Это прямой пример различия между устойчивостью ядра и устойчивостью границы.</w:t>
      </w:r>
    </w:p>
    <w:p>
      <w:pPr>
        <w:pStyle w:val="Heading2"/>
      </w:pPr>
      <w:r>
        <w:t>6.8. Canonical perturbation robustness v2, n=50</w:t>
      </w:r>
    </w:p>
    <w:p>
      <w:r>
        <w:t>Ранний pilot n=5 оказался невоспроизводимым: сохранённый historical runner стабильно давал другие seed-0 результаты, чем исторические canonical CSV. Pilot был исключён из количественной evidence и получил статус SUPERSEDED_NON_REPRODUCIBLE_HISTORICAL_PILOT. Вместо подгонки старых чисел был сформализован новый протокол v2 с канонической сортировкой intralayer edges, фиксированными RNG semantics и checksum каждого шага.</w:t>
      </w:r>
    </w:p>
    <w:p>
      <w:r>
        <w:t>В v2 для каждого из 50 seeds удаляется 5% intralayer-рёбер, оставшиеся веса умножаются на exp(N(0; 0,02)); identity edges не возмущаются. Reproducibility gate прошёл повторный запуск, fresh process и перестановку insertion order. Все 50 seeds сохранялись с checkpoints; resume не пересчитывает завершённые runs.</w:t>
      </w:r>
    </w:p>
    <w:p>
      <w:r>
        <w:t>Средний full-supra ARI с baseline составил ≈0,4984, средний Dec ARI≈0,6757. Следовательно, небольшое возмущение сети не уничтожает структуру полностью, но точное разбиение нельзя считать устойчивым.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90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rofile_core_bound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5. Retention и precision показывают разные стороны устойчивости. Высокий retention при низком precision означает сохранение ядра без сохранения точной границы.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81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boundary_pai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spacing w:before="100" w:after="100"/>
      </w:pPr>
      <w:r>
        <w:t>Рисунок 6. Cross-coassignment между ключевыми парами профилей в perturbation v2. Средние значения: B/E≈0,466; D/F≈0,435; F/G≈0,318; A/D≈0,231. Для B/E q90≈0,995: примерно верхняя десятая часть распределения соответствует почти полному слиянию этих групп. Это характеризует нестабильность границы, а не единую доказанную macrofamily.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  <w:cantSplit/>
        </w:trPr>
        <w:tc>
          <w:tcPr>
            <w:tcW w:type="dxa" w:w="73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Профиль</w:t>
            </w:r>
          </w:p>
        </w:tc>
        <w:tc>
          <w:tcPr>
            <w:tcW w:type="dxa" w:w="73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n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Leiden</w:t>
              <w:br/>
              <w:t>retention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Leiden</w:t>
              <w:br/>
              <w:t>precision</w:t>
            </w:r>
          </w:p>
        </w:tc>
        <w:tc>
          <w:tcPr>
            <w:tcW w:type="dxa" w:w="158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V2 mean</w:t>
              <w:br/>
              <w:t>retention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V2 q10</w:t>
              <w:br/>
              <w:t>retention</w:t>
            </w:r>
          </w:p>
        </w:tc>
        <w:tc>
          <w:tcPr>
            <w:tcW w:type="dxa" w:w="1531"/>
            <w:vAlign w:val="center"/>
            <w:shd w:fill="D9E2F3"/>
          </w:tcPr>
          <w:p>
            <w:pPr>
              <w:spacing w:before="0" w:after="0"/>
            </w:pPr>
            <w:r>
              <w:rPr>
                <w:b/>
                <w:sz w:val="17"/>
              </w:rPr>
              <w:t>V2 mean</w:t>
              <w:br/>
              <w:t>precision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141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0.957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0.964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0.941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0.879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0.727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98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1.000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0.346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0.972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0.989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0.615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29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0.621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1.000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0.719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0.586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0.839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153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0.987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0.475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0.976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0.922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0.512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186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0.984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0.647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0.873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0.624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0.763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327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0.495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0.509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0.703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0.492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0.477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965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0.999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0.846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0.906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0.623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0.893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11. Каноническая evidence v2.2.0 по алгоритмической и perturbation-устойчивости A–G.</w:t>
      </w:r>
    </w:p>
    <w:p>
      <w:pPr>
        <w:pStyle w:val="Heading1"/>
      </w:pPr>
      <w:r>
        <w:t>7. Итоговая интерпретация профилей A–G</w:t>
      </w:r>
    </w:p>
    <w:p>
      <w:r>
        <w:t>После всех robustness-раундов семь крупных декабрьских сообществ нельзя описывать одним термином. Их статусы различаются по устойчивости ядра, границы и зависимости от контекста.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Профиль</w:t>
            </w:r>
          </w:p>
        </w:tc>
        <w:tc>
          <w:tcPr>
            <w:tcW w:type="dxa" w:w="680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Рабочий статус</w:t>
            </w:r>
          </w:p>
        </w:tc>
        <w:tc>
          <w:tcPr>
            <w:tcW w:type="dxa" w:w="5102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141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Перекрывающийся candidate network regime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Высокий retention, но слабая метрическая разделимость; continuous controls ослабляют compactness; граница A/D эпизодически размывается.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Conditional-scope federal-intracity subtype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Ядро сохраняется, но precision низок при Leiden/части perturbations; B ограничен федерально-внутригородской стратой и не трактуется как общенациональный тип или общий механизм с 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29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Rejected as independent beyond-context profile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Spatial и continuous controls не дают устойчивой дополнительной compactness; Leiden retention низкий; статус не пересматривается.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153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Algorithm/perturbation-reproducible core; context-sensitive compactness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Очень высокий retention при низкой precision; combined population/density/admin controls существенно ослабляют compactness; особенно нестабильна граница D/F.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186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Urban/context-sensitive candidate profile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После admin+population+density residual compactness почти совпадает с matched null; B/E boundary часто размывается, но единый B/E механизм не утверждается.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327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Boundary/refinement population with low exact-membership stability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Mean retention≈0,703, precision≈0,477, Jaccard≈0,401; границы размываются к D и G. Экономический механизм пограничности текущим дизайном не идентифицирован.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965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Broad macroprofile with heterogeneous membership stability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Крупное ядро и Leiden retention высоки, но perturbation q10 retention≈0,623; после controls compactness близка к null. Это широкий макропрофиль, не чистый тип.</w:t>
            </w:r>
          </w:p>
        </w:tc>
      </w:tr>
    </w:tbl>
    <w:p>
      <w:pPr>
        <w:spacing w:after="20"/>
      </w:pPr>
    </w:p>
    <w:p>
      <w:pPr>
        <w:pStyle w:val="CaptionRu"/>
        <w:spacing w:before="100" w:after="100"/>
      </w:pPr>
      <w:r>
        <w:t>Таблица 12. Итоговые научные статусы A–G. Они не являются рейтингом и отражают различную доказательную силу.</w:t>
      </w:r>
    </w:p>
    <w:p>
      <w:pPr>
        <w:pStyle w:val="CaptionRu"/>
      </w:pPr>
      <w:r>
        <w:t>Таблица 13. Интерпретативные названия профилей для прикладной коммуникации. Это описательные ярлыки спроса, а не новые статистические классы и не причинные типы экономики.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6"/>
              </w:rPr>
              <w:t>Профиль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6"/>
              </w:rPr>
              <w:t>Рабочее прикладное название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6"/>
              </w:rPr>
              <w:t>Что допускает evidence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Высокорасходный диверсифицированный сетевой режим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Высокий общий уровень и диверсифицированная структура; граница перекрывается с соседними режимами.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Федерально-внутригородской высокорасходный сервисный подтип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В выборке 98/98 участников относятся к federal-intracity; повышены catering/health и остаточный Other, но это не прокси индивидуального дохода.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Низкорасходный маркетплейсно-транспортный фрагмент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Характерный профиль reference partition, но самостоятельность сверх контекста не поддержана; для прикладной сегментации использовать только как exploratory fragment.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Средне-высокорасходное диверсифицированное ядро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Ядро хорошо воспроизводится при algorithm swap/perturbations, однако compactness существенно связана с population/density context.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E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Высокорасходный городской контекстный профиль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Высокий уровень расходов и заметная сервисная составляющая; после combined controls residual compactness близка к matched null.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F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Среднерасходная продовольственно-маркетплейсная пограничная популяция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Точное членство нестабильно; полезна прежде всего как флаг пограничности и необходимости дополнительной диагностики.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G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Низкорасходный продовольственно-маркетплейсный макропрофиль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Самый широкий профиль; высокий food share и низкий уровень расходов, но устойчивость индивидуального членства неоднородна и часть структуры контекстно связана.</w:t>
            </w:r>
          </w:p>
        </w:tc>
      </w:tr>
    </w:tbl>
    <w:p>
      <w:r>
        <w:t>Эти названия не позволяют автоматически заключать, что B означает «высокий доход», G — «сельскую периферию», а F — стадию урбанизации. Такие механизмы требуют дополнительных данных и отдельного дизайна проверки.</w:t>
      </w:r>
    </w:p>
    <w:p>
      <w:pPr>
        <w:pStyle w:val="Heading2"/>
      </w:pPr>
      <w:r>
        <w:t>7.1. D как пример «устойчивого ядра, неустойчивой границы»</w:t>
      </w:r>
    </w:p>
    <w:p>
      <w:r>
        <w:t>D — наиболее наглядный профиль для демонстрации различия core/boundary. В perturbation v2 средний retention D равен 0,9758, q10≈0,9216, но mean precision≈0,5117. Leiden даёт retention≈0,9869 и precision≈0,4748. Следовательно, исходные D почти всегда остаются вместе, но состав сообщества расширяется за счёт соседних по признакам территорий. При этом combined population/density/admin control повышает R примерно до 0,874: значит, большая часть исходной compactness контекстно связана. Формулировка «reproducible core» относится только к сохранению совместного членства при algorithm swap/perturbations и не означает context-independent экономическую сущность.</w:t>
      </w:r>
    </w:p>
    <w:p>
      <w:pPr>
        <w:pStyle w:val="Heading2"/>
      </w:pPr>
      <w:r>
        <w:t>7.2. B/E и многоуровневая структура</w:t>
      </w:r>
    </w:p>
    <w:p>
      <w:r>
        <w:t>Средний cross-coassignment B/E в 50 perturbation runs равен ≈0,4656, при q90≈0,9946. В части реализаций B и E почти полностью разделяются, а примерно в верхней десятой части распределения почти полностью сливаются. Однако их контекст различается: B — conditional-scope федерально-внутригородской подтип, тогда как E резко ослабевает после admin/population/density controls (combined R≈0,967). Поэтому результаты не используются для утверждения единой B/E macrofamily. Корректнее говорить о нестабильной границе между двумя контекстуально различными режимами, которые иногда дают близкую сетевую структуру.</w:t>
      </w:r>
    </w:p>
    <w:p>
      <w:pPr>
        <w:pStyle w:val="Heading2"/>
      </w:pPr>
      <w:r>
        <w:t>7.3. F как пограничная популяция</w:t>
      </w:r>
    </w:p>
    <w:p>
      <w:r>
        <w:t>F имеет mean retention≈0,7028, mean precision≈0,4768 и Jaccard≈0,401. Это низкая устойчивость точного множества участников: совпадение существенно неполное, хотя без специально заданного random-overlap benchmark число 0,401 нельзя интерпретировать как «почти случайное». Cross-coassignment F с D≈0,4348, с G≈0,3178 подтверждает размытость обеих границ. В работе F трактуется только как эмпирическая boundary/refinement population; конкретный экономический механизм этой пограничности (урбанистический континуум, сезонность или особенности graph construction) текущим дизайном не идентифицирован и не постулируется.</w:t>
      </w:r>
    </w:p>
    <w:p>
      <w:pPr>
        <w:pStyle w:val="Heading2"/>
      </w:pPr>
      <w:r>
        <w:t>7.4. G как широкий макропрофиль</w:t>
      </w:r>
    </w:p>
    <w:p>
      <w:r>
        <w:t>G охватывает 965 муниципалитетов — около половины панели. Его Leiden retention≈0,999, но perturbation q10 retention≈0,623, а после population/density controls residual compactness близка к единице. Поэтому G лучше понимать как широкий фоновой макропрофиль с сильным ядром и неоднородной стабильностью отдельных участников.</w:t>
      </w:r>
    </w:p>
    <w:p>
      <w:pPr>
        <w:pStyle w:val="Heading1"/>
      </w:pPr>
      <w:r>
        <w:t>8. ICVI и forensic-аудит S_Dbw</w:t>
      </w:r>
    </w:p>
    <w:p>
      <w:r>
        <w:t>Конкурсная постановка требует использовать SW, CH, S_Dbw, AVI, AVU и MQ. Пять из этих показателей остаются частью canonical quantitative evidence. Для S_Dbw проведён отдельный forensic audit, потому что исторические файлы содержали конечные значения, а новая воспроизводимая реализация Round 14 возвращала undefined.</w:t>
      </w:r>
    </w:p>
    <w:p>
      <w:r>
        <w:t>Аудит восстановил все 24 baseline feature matrices побитово и воспроизвёл текущую Round 14 реализацию для двух static partitions и всех 48 algorithm-month строк: 50 из 50 проверок совпали. Во всех 50 случаях S_Dbw неопределён из-за нулевого знаменателя. Обнаружены не только пары 0/0, но и пары с положительным числителем и нулевым знаменателем. Поэтому простое присвоение 0 для 0/0 не решает проблему; denominator floor или изменение radius меняют определение метрики.</w:t>
      </w:r>
    </w:p>
    <w:p>
      <w:r>
        <w:t>Шесть заранее объявленных диагностических вариантов были рассчитаны только как audit variants. Ни один не воспроизвёл исторические конечные S_Dbw. Непосредственная математическая причина current-round undefined известна — положительный или нулевой числитель при нулевом знаменателе для отдельных пар кластеров. Причина происхождения старых конечных значений не может быть установлена по имеющимся артефактам, потому что генерировавшая их реализация отсутствует; denominator floor, другой radius и printed outside-radius variant были проверены и исторические значения не воспроизвели. Поэтому старые значения исключены из canonical evidence, а новые undefined значения не используются для ранжирования алгоритмов.</w:t>
      </w:r>
    </w:p>
    <w:p>
      <w:r>
        <w:t>Методологически важнее не заполнить таблицу любой ценой, а сохранить воспроизводимость определения. В итоговой работе S_Dbw указывается как «неопределён при строгой зафиксированной реализации; исторические конечные значения имеют неустановленный provenance».</w:t>
      </w:r>
    </w:p>
    <w:p>
      <w:pPr>
        <w:pStyle w:val="Heading1"/>
      </w:pPr>
      <w:r>
        <w:t>9. Обсуждение и ограничения</w:t>
      </w:r>
    </w:p>
    <w:p>
      <w:pPr>
        <w:pStyle w:val="Heading2"/>
      </w:pPr>
      <w:r>
        <w:t>9.1. Что показывает исследование</w:t>
      </w:r>
    </w:p>
    <w:p>
      <w:r>
        <w:t>Структура локального безналичного спроса действительно содержит устойчивую сетевую организацию, но она не сводится к жёсткому набору дискретных типов. Наиболее воспроизводимой частью оказываются ядра: группы муниципалитетов, которые многократно остаются вместе при смене алгоритма и возмущении графа. Границы между такими ядрами гораздо менее стабильны, особенно B/E, D/F и F/G.</w:t>
      </w:r>
    </w:p>
    <w:p>
      <w:r>
        <w:t>Эта картина естественно объясняет, почему attribute-only методы иногда имеют более высокий silhouette, а network methods — более высокую модульность или изоляцию. Разные методы отвечают на разные вопросы: геометрическая компактность и сетевая связность не обязаны совпадать.</w:t>
      </w:r>
    </w:p>
    <w:p>
      <w:pPr>
        <w:pStyle w:val="Heading2"/>
      </w:pPr>
      <w:r>
        <w:t>9.2. Почему пространственный контроль меняет интерпретацию</w:t>
      </w:r>
    </w:p>
    <w:p>
      <w:r>
        <w:t>Профили B, E и G имеют выраженную пространственную и урбанистическую структуру. Это не делает их «ложными», но ограничивает содержательный вывод. B надёжно выделяет restricted federal-intracity subtype и не переносится на страну как универсальный профиль. E после combined controls почти теряет residual compactness, поэтому интерпретируется прежде всего как urban/context-sensitive режим. G остаётся большим макропрофилем, значительная часть которого связана с малой численностью и низкой плотностью. Наблюдаемое B/E overlap описывает нестабильность границы между разными контекстами, а не общий доказанный экономический механизм.</w:t>
      </w:r>
    </w:p>
    <w:p>
      <w:pPr>
        <w:pStyle w:val="Heading2"/>
      </w:pPr>
      <w:r>
        <w:t>9.3. Временные переходы и отсутствие причинного вывода</w:t>
      </w:r>
    </w:p>
    <w:p>
      <w:r>
        <w:t>Временные flows рассматриваются как exploratory post-selection descriptions. Дополнительный lead–lag анализ после удаления национального marketplace-компонента и circular-shift null не дал оснований утверждать диффузию: наблюдаемое число направленных связей было ниже среднего null. Поэтому переходы между профилями нельзя интерпретировать как распространение поведения между муниципалитетами без отдельной причинной модели.</w:t>
      </w:r>
    </w:p>
    <w:p>
      <w:pPr>
        <w:pStyle w:val="Heading2"/>
      </w:pPr>
      <w:r>
        <w:t>9.4. Основные ограничения</w:t>
      </w:r>
    </w:p>
    <w:p>
      <w:pPr>
        <w:pStyle w:val="ListBullet"/>
        <w:ind w:left="397" w:firstLine="0"/>
      </w:pPr>
      <w:r>
        <w:t>Строгая панель обеспечивает сопоставимость во времени, но её репрезентативность для всех муниципальных образований России не установлена.</w:t>
      </w:r>
    </w:p>
    <w:p>
      <w:pPr>
        <w:pStyle w:val="ListBullet"/>
        <w:ind w:left="397" w:firstLine="0"/>
      </w:pPr>
      <w:r>
        <w:t>Данные отражают безналичное потребительское поведение в доступном источнике и не равны полному объёму экономики территории.</w:t>
      </w:r>
    </w:p>
    <w:p>
      <w:pPr>
        <w:pStyle w:val="ListBullet"/>
        <w:ind w:left="397" w:firstLine="0"/>
      </w:pPr>
      <w:r>
        <w:t>Other — технический остаток, а не содержательно однородная отрасль.</w:t>
      </w:r>
    </w:p>
    <w:p>
      <w:pPr>
        <w:pStyle w:val="ListBullet"/>
        <w:ind w:left="397" w:firstLine="0"/>
      </w:pPr>
      <w:r>
        <w:t>Population/density и admin-controls описывают контекст, но не обеспечивают причинную идентификацию.</w:t>
      </w:r>
    </w:p>
    <w:p>
      <w:pPr>
        <w:pStyle w:val="ListBullet"/>
        <w:ind w:left="397" w:firstLine="0"/>
      </w:pPr>
      <w:r>
        <w:t>Mobility coverage выборочно и неодинаково по административным формам; оно используется только для вспомогательной триангуляции.</w:t>
      </w:r>
    </w:p>
    <w:p>
      <w:pPr>
        <w:pStyle w:val="ListBullet"/>
        <w:ind w:left="397" w:firstLine="0"/>
      </w:pPr>
      <w:r>
        <w:t>Все p-values в проекте имеют exploratory характер из-за множественности проверок; локальные поправки не превращают весь проект в confirmatory design.</w:t>
      </w:r>
    </w:p>
    <w:p>
      <w:pPr>
        <w:pStyle w:val="ListBullet"/>
        <w:ind w:left="397" w:firstLine="0"/>
      </w:pPr>
      <w:r>
        <w:t>Leiden и perturbation показывают чувствительность точных границ; поэтому individual municipality membership следует интерпретировать осторожно.</w:t>
      </w:r>
    </w:p>
    <w:p>
      <w:pPr>
        <w:pStyle w:val="ListBullet"/>
        <w:ind w:left="397" w:firstLine="0"/>
      </w:pPr>
      <w:r>
        <w:t>S_Dbw не даёт канонического численного сравнения при зафиксированной строгой реализации.</w:t>
      </w:r>
    </w:p>
    <w:p>
      <w:pPr>
        <w:pStyle w:val="ListBullet"/>
        <w:ind w:left="397" w:firstLine="0"/>
      </w:pPr>
      <w:r>
        <w:t>Рабочая копия, использованная при evidence freeze, не содержала .git, поэтому git commit в manifest отсутствует; файловая воспроизводимость зафиксирована SHA256.</w:t>
      </w:r>
    </w:p>
    <w:p>
      <w:pPr>
        <w:pStyle w:val="Heading2"/>
      </w:pPr>
      <w:r>
        <w:t>9.5. Практическое применение результатов</w:t>
      </w:r>
    </w:p>
    <w:p>
      <w:r>
        <w:t>Прикладная ценность модели состоит не в автоматическом присвоении территории «типу», а в построении воспроизводимого слоя сравнения. Для каждого муниципалитета можно использовать одновременно профиль, стабильность его членства и положение относительно пограничных групп. Это позволяет выбирать корректные peer-группы и отделять территории, где сегментационный сигнал устойчив, от объектов, требующих индивидуальной проверки.</w:t>
      </w:r>
    </w:p>
    <w:p>
      <w:pPr>
        <w:pStyle w:val="CaptionRu"/>
      </w:pPr>
      <w:r>
        <w:t>Таблица 14. Варианты практического использования и ограничения.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4"/>
              </w:rPr>
              <w:t>Пользователь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4"/>
              </w:rPr>
              <w:t>Практическая задача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4"/>
              </w:rPr>
              <w:t>Как используется результат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4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Ритейл, HoReCa, e-commerce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Первичный screening территорий и выбор peer markets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Сравнивать структуру спроса кандидата с устойчивыми профилями и близкими сетевыми соседями; низкая наблюдаемая доля категории, например catering в G, служит сигналом для дополнительной локальной проверки, а не запретом на экспансию.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Профиль не измеряет потенциальный спрос, конкуренцию, аренду и unit economics; решение об открытии точки требует локальных данных.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Банки и геомаркетинг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Географическая сегментация и дизайн пилотных кампаний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Использовать различия структуры расходов и устойчивость профиля для выбора территорий, где целесообразно тестировать разные продуктовые/коммуникационные сценарии.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Нельзя интерпретировать профиль как индивидуальный доход, кредитоспособность или использовать его для индивидуального скоринга.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Региональное управление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Peer benchmarking и приоритизация диагностики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Сопоставлять муниципалитет не только с территориями той же административной формы, но и с сетевыми аналогами; пограничные территории F выделять для отдельного анализа причин отличий.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Профили не являются формулой распределения субсидий и не дают причинной оценки политики.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Статистика и мониторинг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Поиск аномалий и структурных сдвигов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Микросообщества и резкие смены профиля использовать как список объектов для проверки данных или локального исследования; стабильные peer-группы — как фон сравнения.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Смена G→F→E не доказана как траектория урбанизации; это только кандидатное событие для последующей проверки.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Исследовательские команды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Формирование сопоставимых групп и постановка новых гипотез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Использовать устойчивые ядра как источник matched peers, а boundary-популяции — как зоны, где полезно изучать механизмы перехода и контекстные факторы.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4"/>
              </w:rPr>
              <w:t>Для причинных выводов нужны внешние ковариаты, временные шоки или квазиэкспериментальный дизайн.</w:t>
            </w:r>
          </w:p>
        </w:tc>
      </w:tr>
    </w:tbl>
    <w:p>
      <w:r>
        <w:t>Практический workflow: (1) определить текущий профиль и его stability indicators; (2) выбрать peer municipalities из того же устойчивого ядра или ближайших сетевых соседей; (3) сравнить структуру расходов и динамику с peer-группой; (4) для low-precision/boundary объектов снизить вес сегментационного решения и перейти к индивидуальной диагностике; (5) повторять мониторинг во времени. Такой подход превращает сеть в систему ранжирования внимания, а не в автоматический классификатор решений.</w:t>
      </w:r>
    </w:p>
    <w:p>
      <w:r>
        <w:t>Пример корректной прикладной интерпретации: муниципалитет с профилем G и низкой наблюдаемой долей общественного питания не следует автоматически считать «неподходящим для ресторана». Модель лишь показывает, что его фактическая структура безналичных расходов отличается от сервисных B/E; это основание потребовать дополнительную проверку локального спроса, туристического потока, конкуренции и доходов до инвестиционного решения.</w:t>
      </w:r>
    </w:p>
    <w:p>
      <w:pPr>
        <w:pStyle w:val="Heading1"/>
      </w:pPr>
      <w:r>
        <w:t>10. Заключение</w:t>
      </w:r>
    </w:p>
    <w:p>
      <w:r>
        <w:t>В логике критериев конкурса итог можно сформулировать через три вопроса: что найдено, почему результату можно доверять и как его использовать.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6"/>
              </w:rPr>
              <w:t>Вопрос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E9EEF5"/>
          </w:tcPr>
          <w:p>
            <w:pPr>
              <w:spacing w:before="0" w:after="0"/>
            </w:pPr>
            <w:r>
              <w:rPr>
                <w:rFonts w:ascii="Aptos" w:hAnsi="Aptos"/>
                <w:b/>
                <w:sz w:val="16"/>
              </w:rPr>
              <w:t>Итог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Что найдено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Многоуровневая сетевая организация локального безналичного спроса: устойчивые ядра и подтипы, контекстно-чувствительные широкие режимы, пограничные популяции и неподдержанные фрагменты. Главная закономерность — ядра воспроизводятся лучше точных границ и временных траекторий.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Почему доверять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Baseline воспроизводится точно; выводы прошли параметрические, пространственные, демографические и алгоритмические проверки и 50 канонических perturbation runs. Ошибочные или невоспроизводимые evidence-компоненты были явно исключены.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Как использовать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sz w:val="16"/>
              </w:rPr>
              <w:t>Как decision-support слой для peer benchmarking, геомаркетингового screening, мониторинга структурных изменений и выбора объектов для углублённой диагностики — с учётом stability каждого профиля и без автоматического причинного толкования.</w:t>
            </w:r>
          </w:p>
        </w:tc>
      </w:tr>
    </w:tbl>
    <w:p>
      <w:r>
        <w:t>В работе построена воспроизводимая атрибутированная временная сеть 1904 муниципальных образований России на основе структуры и уровня безналичных потребительских расходов за 2023–2024 годы. Reference specification объединяет CLR/Aitchison-представление структуры расходов с отдельным робастным признаком общего уровня, mutual-kNN20-граф и 24-слойную supra-сеть с ω=2.</w:t>
      </w:r>
    </w:p>
    <w:p>
      <w:r>
        <w:t>Сравнение альтернативных функций близости, алгоритмов и ICVI показало отсутствие универсального «победителя». Поэтому итоговый вывод основан на robustness, а не на максимуме одной метрики. k-, ω- и α-sensitivity, spatial block nulls, administrative и population/density controls, algorithm swap Louvain→Leiden и canonical perturbation v2 n=50 демонстрируют одну устойчивую закономерность: крупные ядра сетевой структуры воспроизводятся лучше, чем точные границы сообществ и временные траектории.</w:t>
      </w:r>
    </w:p>
    <w:p>
      <w:r>
        <w:t>Итогом является не семь равноправных «типов экономики», а многоуровневая система профилей локального безналичного спроса различной доказательной силы. A интерпретируется как перекрывающийся сетевой режим; B — как conditional-scope федерально-внутригородской подтип; C отвергнут как самостоятельный beyond-context профиль; D имеет algorithm/perturbation-воспроизводимое ядро при контекстно чувствительной compactness и неустойчивой границе; E является urban/context-sensitive candidate profile; F — boundary/refinement population с низкой exact-membership stability и без установленного экономического механизма; G — широкий макропрофиль с неоднородной стабильностью членства.</w:t>
      </w:r>
    </w:p>
    <w:p>
      <w:r>
        <w:t>Научно значимым результатом является и сама процедура самокоррекции. Невоспроизводимый pilot n=5 исключён и заменён каноническим n=50; leakage в mobility-тесте исправлен fold-aware дизайном; S_Dbw не был «исправлен» под желаемое число, а исключён из количественного ранжирования после forensic-аудита. Это делает итоговые выводы более узкими, но существенно более надёжными.</w:t>
      </w:r>
    </w:p>
    <w:p>
      <w:r>
        <w:t>Таким образом, атрибутированная сеть оказывается полезным инструментом не потому, что даёт единственную жёсткую классификацию территорий, а потому, что позволяет увидеть многоуровневую организацию сходства, устойчивые ядра, пограничные области и временную изменчивость — то есть структуру, которая теряется при одномерном рейтинге или единственном кластерном решении.</w:t>
      </w:r>
      <w:r>
        <w:t xml:space="preserve"> В прикладной постановке это позволяет переходить от единого рейтинга территории к сравнению с воспроизводимыми peer-группами и управлять глубиной последующей проверки в зависимости от устойчивости членства.</w:t>
      </w:r>
    </w:p>
    <w:p>
      <w:pPr>
        <w:pStyle w:val="Heading1"/>
      </w:pPr>
      <w:r>
        <w:t>Список источников</w:t>
      </w:r>
    </w:p>
    <w:p>
      <w:pPr>
        <w:ind w:hanging="340" w:left="340"/>
      </w:pPr>
      <w:r>
        <w:t>1. СберИндекс. Основной набор расходов: «Потребительские безналичные расходы на уровне муниципальных образований» — набор данных хакатона Data Sense. https://sberindex.ru/ru/research/data-sense-opisanie-nabora-dannikh-khakatona-sberindeksa-po-munitsipalnim-dannim</w:t>
      </w:r>
    </w:p>
    <w:p>
      <w:pPr>
        <w:ind w:hanging="340" w:left="340"/>
      </w:pPr>
      <w:r>
        <w:t>2. СберИндекс. Пространственный/территориальный слой: данные о границах и преобразованиях муниципальных образований. https://sberindex.ru/ru/research/dataset-borders-and-changes-of-municipalities</w:t>
      </w:r>
    </w:p>
    <w:p>
      <w:pPr>
        <w:ind w:hanging="340" w:left="340"/>
      </w:pPr>
      <w:r>
        <w:t>3. Росстат. Общероссийский классификатор территорий муниципальных образований (ОКТМО), открытые данные. https://rosstat.gov.ru/opendata/</w:t>
      </w:r>
    </w:p>
    <w:p>
      <w:pPr>
        <w:ind w:hanging="340" w:left="340"/>
      </w:pPr>
      <w:r>
        <w:t>4. Росстат. Численность населения Российской Федерации по муниципальным образованиям. https://www.rosstat.gov.ru/folder/11110/document/13282</w:t>
      </w:r>
    </w:p>
    <w:p>
      <w:pPr>
        <w:ind w:hanging="340" w:left="340"/>
      </w:pPr>
      <w:r>
        <w:t>5. Aitchison J. The Statistical Analysis of Compositional Data. London: Chapman and Hall, 1986. 416 p.</w:t>
      </w:r>
    </w:p>
    <w:p>
      <w:pPr>
        <w:ind w:hanging="340" w:left="340"/>
      </w:pPr>
      <w:r>
        <w:t>6. Blondel V. D., Guillaume J.-L., Lambiotte R., Lefebvre E. Fast unfolding of communities in large networks // Journal of Statistical Mechanics: Theory and Experiment. 2008. P10008.</w:t>
      </w:r>
    </w:p>
    <w:p>
      <w:pPr>
        <w:ind w:hanging="340" w:left="340"/>
      </w:pPr>
      <w:r>
        <w:t>7. Traag V. A., Waltman L., van Eck N. J. From Louvain to Leiden: guaranteeing well-connected communities // Scientific Reports. 2019. Vol. 9. Article 5233. DOI: 10.1038/s41598-019-41695-z.</w:t>
      </w:r>
    </w:p>
    <w:p>
      <w:pPr>
        <w:ind w:hanging="340" w:left="340"/>
      </w:pPr>
      <w:r>
        <w:t>8. Halkidi M., Vazirgiannis M. Clustering Validity Assessment: Finding the Optimal Partitioning of a Data Set // Proceedings of IEEE ICDM 2001. P. 187–194. DOI: 10.1109/ICDM.2001.989517.</w:t>
      </w:r>
    </w:p>
    <w:p>
      <w:pPr>
        <w:ind w:hanging="340" w:left="340"/>
      </w:pPr>
      <w:r>
        <w:t>9. Кушлевич А. Проблема преобразований муниципалитетов для аналитиков: как мы упорядочили хаос // Блог Сбера на Хабре, 2024. https://habr.com/ru/companies/sberbank/articles/849682/</w:t>
      </w:r>
    </w:p>
    <w:p>
      <w:pPr>
        <w:pStyle w:val="Heading1"/>
      </w:pPr>
      <w:r>
        <w:t>Приложение. Воспроизводимость и evidence freeze</w:t>
      </w:r>
    </w:p>
    <w:p>
      <w:r>
        <w:t>Финальная доказательная база зафиксирована как evidence version 2.2.0, freeze revision canonical_forensic_1. Статус freeze: FROZEN_SCOPED_REPRODUCIBLE_EVIDENCE. Инвентарь содержит 390 файлов; предшествующие файлы не перезаписаны, новые clustering experiments при freeze не выполнялись, scientific status changes=0.</w:t>
      </w:r>
    </w:p>
    <w:p>
      <w:pPr>
        <w:pStyle w:val="CaptionRu"/>
        <w:spacing w:before="0" w:after="0"/>
      </w:pPr>
      <w:r>
        <w:t>Таблица П1. Ключевые реквизиты evidence freeze.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tblHeader w:val="true"/>
        </w:trPr>
        <w:tc>
          <w:tcPr>
            <w:tcW w:type="dxa" w:w="3118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Объект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/>
                <w:sz w:val="16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Evidence version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2.2.0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Freeze revision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canonical_forensic_1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Файлов в freeze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390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Canonical matrix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MASTER_PROFILE_EVIDENCE_MATRIX_v2.2.0.csv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Inventory SHA256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52b7d5b165507e70d6f101dbb52a40591cb9a962b9edfa16a47f6333483f8ccb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Canonical matrix SHA256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67b2f4d5bc90cdfb879d3c6cb29e2b620c40c41a2f3bee54957bd36079fb516a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Verification command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python scripts/canonical_evidence_freeze.py verify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Historical n=5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SUPERSEDED_NON_REPRODUCIBLE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  <w:ind w:firstLine="0"/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S_Dbw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/>
                <w:b w:val="0"/>
                <w:sz w:val="16"/>
              </w:rPr>
              <w:t>EXCLUDED: unresolved historical provenance + undefined strict Round 14</w:t>
            </w:r>
          </w:p>
        </w:tc>
      </w:tr>
    </w:tbl>
    <w:p>
      <w:pPr>
        <w:spacing w:after="0" w:before="0" w:lineRule="exact" w:line="20"/>
        <w:rPr>
          <w:sz w:val="2"/>
          <w:szCs w:val="2"/>
        </w:rPr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964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7"/>
      </w:rPr>
      <w:t>Сетевая структура локального безналичного спроса • evidence v2.2.0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425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spacing w:before="40" w:after="160"/>
      <w:jc w:val="center"/>
    </w:pPr>
    <w:rPr>
      <w:rFonts w:ascii="Times New Roman" w:hAnsi="Times New Roman"/>
      <w:i/>
      <w:sz w:val="18"/>
    </w:rPr>
  </w:style>
  <w:style w:type="paragraph" w:customStyle="1" w:styleId="Formula">
    <w:name w:val="Formula"/>
    <w:pPr>
      <w:spacing w:before="100" w:after="120"/>
      <w:jc w:val="center"/>
    </w:pPr>
    <w:rPr>
      <w:rFonts w:ascii="Cambria Math" w:hAnsi="Cambria Math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Сетевая структура локального безналичного потребительского спроса — конкурсная версия</dc:title>
  <dc:subject>Атрибутированные сети, robustness и практическое применение муниципальных профилей спроса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