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The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rlands Indies)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1820. 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commission,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Buitenzorg),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tasked with seeking minerals and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 local 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and fauna. From 1839 to 1847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edited by C.J. Temminck, director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RNMH. After the dissolution of the commission in 1850, the publications, collected objects,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correspondence, etc. were included in the collection of the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Historie. The foundation of the present-day Naturalis collection is, thus, explicitly linked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past. Even after the Natuurkundige Commissie was disbanded, collectors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 and elsewhere were encouraged by the RMNH to continue making their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Geology and Mineralogy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collections of Amsterdam and Delft universities. Archives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ralis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and house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1995 describing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former Nationaal Natuurhistorisch Museum from 1820 to 1958. Contains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