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and collections acquired in colonial situation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