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Hans Groot (Van Batavia naar Weltevreden, p. 222, p. 229) schonk de resident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Bengalen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Daniel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Anthony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Overbeek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mei 1825 een zilveren Visnu uit Birma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 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ootschap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arts 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 Vos uit Bengalen was ook corresponderend lid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boeken.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grafborden van de voormalige Nederlandse kerk van Chinsurah zijn in 1949 door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bisschop van Kolkata geschonken aan het Rijksmuseum Amsterdam: NG-106 tot 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NG-118.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Koperen platen uit het Chola-rijk werden in 2026 gerestitueerd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advies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bijlagen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Schilderij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Joan Ketelaars ambassade naar de koning van Udaipur (nog niet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Datahub)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A-9584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40" w:bottom="54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Daniel_Anthony_Overbeek" TargetMode="External"/><Relationship Id="rId10" Type="http://schemas.openxmlformats.org/officeDocument/2006/relationships/hyperlink" Target="https://commissie.kolonialecollecties.nl/documenten/2026/05/16/india-2026" TargetMode="External"/><Relationship Id="rId11" Type="http://schemas.openxmlformats.org/officeDocument/2006/relationships/hyperlink" Target="https://id.rijksmuseum.nl/20067545" TargetMode="External"/><Relationship Id="rId12" Type="http://schemas.openxmlformats.org/officeDocument/2006/relationships/hyperlink" Target="https://app.colonialcollections.nl/nl/objects/https%3A%2F%2Fn2t%252Enet%2Fark%3A%2F27023%2F70344acb0575923e25b4ff07ea8e35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