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later also took a seat on the Advisory Board of the museum, served as one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reldmuseums’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