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Prins 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bezit van de gemeente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stukken met betr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