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Rond dezelfde tijd werd er via een gouvernementsbesluit bepaald dat 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