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auf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 in Bogor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(tegenwoordig Naturalis Biodiversity 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