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jke historie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botanie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aangesteld als hoogleraar in verschillende disciplines. Reinwardt had zich zodoende 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relatief korte periode weten op te werken tot een belangrijke persoon in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academische en bestuurlijke wereld. Het is dus ook niet verrassend dat Koning Willem 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het Nederlandse koninkrijk in 1813 weer hersteld was, Reinwardt aanstelde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Directeur van Landbouwkundige aangelegenheden, Wetenschappen en Kunsten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commissie die de Indische archipel, na het interregnum van de Britten, bestuurlijk opnieuw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 en etnografisch materiaal werd door Reinwardt naar Bogor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meegenomen en tentoongesteld in een klein natuurhistorisch museum in de botanische tuin.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stuurde hij vele natuurhistorische objecten richting Europees Nederland, waar deze 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beschikking kwamen aan de collectie van de koning,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Historie, dat later de basis zou vormen voor het Rijksmuseum van Natuurlijke Historie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bijgestaan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persoonlijke 'verzamelaa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rs', waarvan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Jacob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D'Arnaud van Boeckholtz en August Fransz Treffz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verblijven en maakte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tijd een reis naar Timor, de Molukken en Celebes. Postuum, aan de hand van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oostelijk gedeelte 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Hortus Botanicus schreef Reinwardt een nieuwe catalogus, die hard nodig was na de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toevoegingen aan de collectie van de tuin. Ondertussen hadden andere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 in Nederland niet stil gezeten, waardoor bijvoorbeeld de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geambieerde positie van directeur van het Rijksmuseum van Natuurlijke Historie al vergeven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1854 overleed Caspar Georg Carl Reinwardt. Hoewel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hij niet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al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ambities heeft kunnen voldoen, zoals zijn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aantekeningen omzetten in verschillende wetenschappelijke publicaties, heeft hij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nadrukkelijk zijn stempel gedrukt op de 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 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prof. C.G.C. Reinwardt, 1808-1828 (NL-HaNA,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2.21.204)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Haag. 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C. G. C., and Teunis Willem van Heiningen. The Correspondence of</w:t>
      </w:r>
    </w:p>
    <w:p>
      <w:pPr>
        <w:sectPr>
          <w:pgSz w:w="11900" w:h="16840"/>
          <w:pgMar w:top="324" w:right="105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persoon/40457008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2024-12-17</w:t>
      </w:r>
    </w:p>
    <w:sectPr w:rsidR="00FC693F" w:rsidRPr="0006063C" w:rsidSect="00034616">
      <w:pgSz w:w="11900" w:h="16840"/>
      <w:pgMar w:top="324" w:right="940" w:bottom="133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resolver.kb.nl/resolve?urn=MMKIT03:000187285:pdf" TargetMode="External"/><Relationship Id="rId25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hdl.handle.net/1887/18924" TargetMode="External"/><Relationship Id="rId29" Type="http://schemas.openxmlformats.org/officeDocument/2006/relationships/hyperlink" Target="https://doi.org/10.1177/0073275314546970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