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of the present-day Naturalis collection is, thus, explicitly linked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past. 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Natuurkundige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herlands 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establi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shed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 1820. 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mission, based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Buitenzorg), was tasked with seeking minerals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pping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local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1839 to 1847 the 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edited by C.J.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Temminck, director of the RNMH. After the dissolution of the commission in 1850,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publications, collected objects, correspondence, etc. were included in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Historie. Even after the Natuurkundige Commissie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disbanded, collectors in Indonesia and elsewhere were encouraged by the RMNH to continue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making their collections 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herbarium collections of Amsterdam and Delft universities.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from 1995 describing the history of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former Nationaal Natuurhistorisch Museum from 1820 to 1958.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12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