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576" w:lineRule="exact" w:before="144" w:after="0"/>
        <w:ind w:left="10" w:right="3168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 xml:space="preserve">Leger- en marinepersoneel in </w:t>
      </w:r>
      <w:r>
        <w:rPr>
          <w:rFonts w:ascii="Charis SIL Bold" w:hAnsi="Charis SIL Bold" w:eastAsia="Charis SIL Bold"/>
          <w:b/>
          <w:i w:val="0"/>
          <w:color w:val="000000"/>
          <w:sz w:val="48"/>
        </w:rPr>
        <w:t>gekoloniseerde gebieden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Leger- en marinepersoneel dat actief was in gekoloniseerde gebieden, verzamelde op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verschillende manieren objecten tijdens het koloniale tijdperk. Objecten kunnen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buitgemaakt, geschonken of gekocht van de lokale bevolking. Later werden deze objecten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vaak gedoneerd aan colllectiebeherende instellingen in Nederland.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Beschrijving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Nederlandse gezag in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Nederlands-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9" w:history="1">
          <w:r>
            <w:rPr>
              <w:rStyle w:val="Hyperlink"/>
            </w:rPr>
            <w:t>Indië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0" w:history="1">
          <w:r>
            <w:rPr>
              <w:rStyle w:val="Hyperlink"/>
            </w:rPr>
            <w:t>Suriname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op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Caribische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eilanden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steunde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belangrijke mate op de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inzet van he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t leg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. In Nede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rlands-Ind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ië was het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1" w:history="1">
          <w:r>
            <w:rPr>
              <w:rStyle w:val="Hyperlink"/>
            </w:rPr>
            <w:t>Koninkli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 xml:space="preserve">jk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Nederlandsch-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Indisch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Leger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2" w:history="1">
          <w:r>
            <w:rPr>
              <w:rStyle w:val="Hyperlink"/>
            </w:rPr>
            <w:t>(KNIL)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actief. Het KNIL werd gevormd door o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fficier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met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Nederlandse o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f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 een an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d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ere 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uropes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nationaliteit en veelal lokale soldaten. In Suriname en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3" w:history="1">
          <w:r>
            <w:rPr>
              <w:rStyle w:val="Hyperlink"/>
            </w:rPr>
            <w:t>Curaçao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was de koloniale troepenmacht in de 19de eeuw het West-Indische leger, dat op zijn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beurt 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el was van het Nederlandse leger. In de 20ste eeuw werden de officieren voor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Suriname gerekruteerd uit het KNIL, terwijl de onderofficieren en soldaten zowel in Europa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als lokaal werden geworven. Tijdens 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onafhankelijkheidsoorlog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4" w:history="1">
          <w:r>
            <w:rPr>
              <w:rStyle w:val="Hyperlink"/>
            </w:rPr>
            <w:t>Indonesië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(1945-1949)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werden tienduizenden vrijwillige en die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nstplichtige soldaten uit h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et 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ederlands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leger tegen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Republikeinse troepen ingezet.</w:t>
      </w:r>
    </w:p>
    <w:p>
      <w:pPr>
        <w:autoSpaceDN w:val="0"/>
        <w:autoSpaceDE w:val="0"/>
        <w:widowControl/>
        <w:spacing w:line="288" w:lineRule="exact" w:before="240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een gering aantal voorwerpen in Nederlandse musea betreft officiële oorlogsbuit die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bevel van de koloniale legers naar Nederland werd gezonden. Een bekend voorbeeld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zogenaamde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5" w:history="1">
          <w:r>
            <w:rPr>
              <w:rStyle w:val="Hyperlink"/>
            </w:rPr>
            <w:t>Lombokschat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die in 1977 en 2023 aan Indonesië is gerestitueerd. Veel meer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voorwerpen zijn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afkomstig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individuele militairen en door particulier initiatief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 terechtgekomen. Er waren verschillende manieren waarop militair personeel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deze voorwerpen kwam: ze konden zijn buitgemaakt, geschonken of gekocht van de lokale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bevolking.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geval van ontvangen geschenken en voorwerpen die zijn gekocht door militairen moet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onthouden worden dat er sprake was van ongelijke machtsverhoudingen tussen kolonisator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gekoloniseerde. Voorwerpen kunnen zijn verkocht of geschonken uit angst, om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betreffende militairen gunstig te stemmen of omdat de voortdurende oorlogssituatie leidde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tot verarming van de bevolking. Een contextualisering van dergelijke geschenken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aankopen is dus nodig.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Militairen in de koloniale legers wisselden regelmatig van functie en standplaats en klommen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op in rang. De rang die vermeld staat in de objectdocumentatie kan een andere zijn dan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rang ten tijde van verwerving in het herkomstland. De personeelsdossiers (stamboeken)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Nationaal Archief en de officiersboekjes zijn betrouwbare bronnen om de rang, functie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standplaats ten tijde van verwerving te achterhalen. Via de gedigitaliseerde kranten op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Delpher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kan nadere informatie over de oorlogshandelingen en verdere werkzaamheden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de betre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ffende militair worden achterhaald.</w:t>
      </w:r>
    </w:p>
    <w:p>
      <w:pPr>
        <w:autoSpaceDN w:val="0"/>
        <w:autoSpaceDE w:val="0"/>
        <w:widowControl/>
        <w:spacing w:line="354" w:lineRule="exact" w:before="1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Om informatie over een militair te vinden is het van belang om eerst te bepalen bij welk</w:t>
      </w:r>
    </w:p>
    <w:p>
      <w:pPr>
        <w:sectPr>
          <w:pgSz w:w="11900" w:h="16840"/>
          <w:pgMar w:top="448" w:right="982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 of legeronderdeel de militair in dienst was, zoals de Landmacht (het Nederlandse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leger), het KNIL of de marine. De zoekhulp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Marinepersoneel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het Nationaal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 kan daarbij van dienst zijn.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Via het Nationaal Archief zijn de personeelsdossiers (stamboeken) van militairen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marinepersoneel digitaal doorzoekbaar. Er zijn zoekhulpen voor Nederlands-Indië, West-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Indië en de verschillende marine- en legeronderdelen. De stamboeken bevatten summiere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persoonlijke gegevens en informatie over wanneer een militair of marinier waar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gestationeerd was. Een verklarende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8" w:history="1">
          <w:r>
            <w:rPr>
              <w:rStyle w:val="Hyperlink"/>
            </w:rPr>
            <w:t>woordenlijst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geeft uitleg over de afkortingen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stamboeken.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personeelsdossiers van de soldaten die in 1945-1949 naar Indonesië zijn uitgezonden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bevinden zich tot 2026-2027 bij het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Ministerie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9" w:history="1">
          <w:r>
            <w:rPr>
              <w:rStyle w:val="Hyperlink"/>
            </w:rPr>
            <w:t>Defensie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zijn daar opvraagbaar.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toegang te krijgen tot een staat van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t>d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ienst moe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t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ee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>n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9" w:history="1">
          <w:r>
            <w:rPr>
              <w:rStyle w:val="Hyperlink"/>
            </w:rPr>
            <w:t xml:space="preserve"> akte 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 overlijden worden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meegestuurd. Voor overlijdensaktes gelden privacybeperkingen, maar een uittreksel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persoonskaart geldt ook. De uittreksels zijn opvraagbaar bij het CBG (Centrum voor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Familiegeschiedenis). Belangrijke informatie op de staat van dienst betreft de legereenheid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waarin de soldaat diende. Met betrekking tot vrijwel iedere legereenheid zijn archiefstukken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en/of egodocumenten in archieven en publicaties te vinden. Deze bevinden zich met name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de collecties van het NIOD, het NIMH en bij de Universitaire Bibliotheken Leiden.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0" w:history="1">
          <w:r>
            <w:rPr>
              <w:rStyle w:val="Hyperlink"/>
            </w:rPr>
            <w:t>Bronbeek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kenniscentrum van het koloniaal-militair verleden van Nederland. 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De nadr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>u</w:t>
          </w:r>
        </w:hyperlink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0" w:history="1">
          <w:r>
            <w:rPr>
              <w:rStyle w:val="Hyperlink"/>
            </w:rPr>
            <w:t xml:space="preserve">k ligt op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Nederlands-Indië, maar er is ook materiaal uit andere koloniën aanwezig.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 kunt contact opnemen met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1" w:history="1">
          <w:r>
            <w:rPr>
              <w:rStyle w:val="Hyperlink"/>
            </w:rPr>
            <w:t>loket.bronbeek@mindef.nl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om informatie op te vragen over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bepaalde militair, gebeurtenis</w:t>
      </w:r>
      <w:r>
        <w:rPr>
          <w:u w:val="single" w:color="0000ff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21" w:history="1">
          <w:r>
            <w:rPr>
              <w:rStyle w:val="Hyperlink"/>
            </w:rPr>
            <w:t xml:space="preserve"> of object.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98" w:right="201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Selecteren en afbakenen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Ambtenaren in gekoloni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seerde gebieden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De handel in objecten uit een koloniale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context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Indonesië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Hoofdcur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sus Kampen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Koninklijk Bataviaasc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h Genootschap van Kunsten en Wetenschappen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Museum Bronbeek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Rijksmuseum Ams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Stichting Koninklijke Def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ensiemusea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Amsterdam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Wereldmuseum Leiden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>Volkenkundig Museum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Justinus van Nassau</w:t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4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Almanak:</w:t>
      </w:r>
    </w:p>
    <w:p>
      <w:pPr>
        <w:autoSpaceDN w:val="0"/>
        <w:autoSpaceDE w:val="0"/>
        <w:widowControl/>
        <w:spacing w:line="288" w:lineRule="exact" w:before="240" w:after="0"/>
        <w:ind w:left="81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Regeeringsalmanak voor Nederlandsch-Indië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Edities van 1865 tot en met 1942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beschikbaar via Delpher en edities van 1865 tot en met 1912 beschikbaar via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digitale collecties van de Staatsbibliothek zu Berlin. Via Delpher zijn de edities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vindbaar door binnen de tijdschriftensectie te selecteren op de titel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'regeringsalmanak Nederlandsch-Indië. Bij de Staatsbibliothek zu Berlin zijn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edities vindbaar door te zoeken op 'PPN718684745'.</w:t>
      </w:r>
    </w:p>
    <w:p>
      <w:pPr>
        <w:sectPr>
          <w:pgSz w:w="11900" w:h="16840"/>
          <w:pgMar w:top="324" w:right="972" w:bottom="5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6" w:history="1">
          <w:r>
            <w:rPr>
              <w:rStyle w:val="Hyperlink"/>
            </w:rPr>
            <w:t>www.delpher.nl/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Beeldcollectie: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Instituut voor Militaire Historie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Beeldbank van het Nederlands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Instituut voor Militaire Historie bevat historisch beeldmateriaal.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nimh-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2" w:history="1">
          <w:r>
            <w:rPr>
              <w:rStyle w:val="Hyperlink"/>
            </w:rPr>
            <w:t>beeldbank.defensie.nl/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Webportal: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 Militair Erfgoed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Militair Erfgoed is een portal met militaire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bronnen uit verschillende collecties in Nederland, waaronder beeldmateriaal,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tijdschriften en boeken. Voor herkomstonderzoek zijn met name de officiersboekjes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en de historische tijdschriften van belang.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3" w:history="1">
          <w:r>
            <w:rPr>
              <w:rStyle w:val="Hyperlink"/>
            </w:rPr>
            <w:t>nlme.nl/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Witkam, Jan Just. ‘Teuku Panglima Polem’s Purse’. Journal of Islamic Manuscripts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10, nr. 1 (15 april 2019): 84-104.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Artikel over Teuku Panglima Polem,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Atjehse leider tijdens de koloniale oorlog die Nederland voerde in Atjeh.</w:t>
      </w:r>
    </w:p>
    <w:p>
      <w:pPr>
        <w:autoSpaceDN w:val="0"/>
        <w:autoSpaceDE w:val="0"/>
        <w:widowControl/>
        <w:spacing w:line="352" w:lineRule="exact" w:before="176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4" w:history="1">
          <w:r>
            <w:rPr>
              <w:rStyle w:val="Hyperlink"/>
            </w:rPr>
            <w:t>doi.org/10.1163/1878464X-01001006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Keurs, Pieter ter, red. Colonial collections revisited. Mededelingen van het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Rijksmuseum voor Volkenkunde, Leiden, no. 36. Leiden: CNWS Publications,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naar aanleiding van een conferentie in de Nieuwe Kerk, Amsterdam, 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2006. Het boek focust op het verzamelen van objecten in voormalig Nederlands-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Indië, met daarbij ook aandacht voor militairen.</w:t>
      </w:r>
    </w:p>
    <w:p>
      <w:pPr>
        <w:autoSpaceDN w:val="0"/>
        <w:autoSpaceDE w:val="0"/>
        <w:widowControl/>
        <w:spacing w:line="288" w:lineRule="exact" w:before="240" w:after="0"/>
        <w:ind w:left="800" w:right="172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title/907175634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ISBN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6" w:history="1">
          <w:r>
            <w:rPr>
              <w:rStyle w:val="Hyperlink"/>
            </w:rPr>
            <w:t>9789057891526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WorldC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25" w:history="1">
          <w:r>
            <w:rPr>
              <w:rStyle w:val="Hyperlink"/>
            </w:rPr>
            <w:t>907175634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Zoekhulp:</w:t>
      </w:r>
    </w:p>
    <w:p>
      <w:pPr>
        <w:autoSpaceDN w:val="0"/>
        <w:autoSpaceDE w:val="0"/>
        <w:widowControl/>
        <w:spacing w:line="288" w:lineRule="exact" w:before="240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Militairen en Marinepersoneel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Zoekhulp van het Nationaal Archief over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Nederlandse militairen en marinepersoneel. Tip: de gegevens in de stamboeken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worden soms vervolgd op een andere pagina. Er staat dan een notitie onderaan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pagina: 'zie verder' met het betreffende paginanummer.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www.nationaalarchief.nl/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onderzoeken/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zoekhulpen/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militairen-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marinep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FF"/>
          <w:sz w:val="24"/>
          <w:u w:val="single"/>
        </w:rPr>
        <w:hyperlink r:id="rId17" w:history="1">
          <w:r>
            <w:rPr>
              <w:rStyle w:val="Hyperlink"/>
            </w:rPr>
            <w:t>ersoneel</w:t>
          </w:r>
        </w:hyperlink>
      </w:r>
    </w:p>
    <w:p>
      <w:pPr>
        <w:autoSpaceDN w:val="0"/>
        <w:autoSpaceDE w:val="0"/>
        <w:widowControl/>
        <w:spacing w:line="538" w:lineRule="exact" w:before="45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4" w:lineRule="exact" w:before="228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sectPr>
          <w:pgSz w:w="11900" w:h="16840"/>
          <w:pgMar w:top="324" w:right="940" w:bottom="616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3312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first edited by Wiebe Reints as original_author on 2024-03-26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2025-12-16</w:t>
      </w:r>
    </w:p>
    <w:sectPr w:rsidR="00FC693F" w:rsidRPr="0006063C" w:rsidSect="00034616">
      <w:pgSz w:w="11900" w:h="16840"/>
      <w:pgMar w:top="324" w:right="14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sws.geonames.org/1643084" TargetMode="External"/><Relationship Id="rId10" Type="http://schemas.openxmlformats.org/officeDocument/2006/relationships/hyperlink" Target="https://sws.geonames.org/3382998" TargetMode="External"/><Relationship Id="rId11" Type="http://schemas.openxmlformats.org/officeDocument/2006/relationships/hyperlink" Target="https://sws.geonames.org/8505032" TargetMode="External"/><Relationship Id="rId12" Type="http://schemas.openxmlformats.org/officeDocument/2006/relationships/hyperlink" Target="https://hdl.handle.net/20.500.11840/pi7416" TargetMode="External"/><Relationship Id="rId13" Type="http://schemas.openxmlformats.org/officeDocument/2006/relationships/hyperlink" Target="https://sws.geonames.org/7626836" TargetMode="External"/><Relationship Id="rId14" Type="http://schemas.openxmlformats.org/officeDocument/2006/relationships/hyperlink" Target="https://www.wikidata.org/entity/Q1332160" TargetMode="External"/><Relationship Id="rId15" Type="http://schemas.openxmlformats.org/officeDocument/2006/relationships/hyperlink" Target="https://www.wikidata.org/entity/Q115754448" TargetMode="External"/><Relationship Id="rId16" Type="http://schemas.openxmlformats.org/officeDocument/2006/relationships/hyperlink" Target="https://www.delpher.nl/" TargetMode="External"/><Relationship Id="rId17" Type="http://schemas.openxmlformats.org/officeDocument/2006/relationships/hyperlink" Target="https://www.nationaalarchief.nl/onderzoeken/zoekhulpen/militairen-en-marinepersoneel" TargetMode="External"/><Relationship Id="rId18" Type="http://schemas.openxmlformats.org/officeDocument/2006/relationships/hyperlink" Target="https://www.nationaalarchief.nl/onderzoeken/zoekhulpen/militaire-stamboeken-afkortingen-en-verklarende-woordenlijst" TargetMode="External"/><Relationship Id="rId19" Type="http://schemas.openxmlformats.org/officeDocument/2006/relationships/hyperlink" Target="https://www.defensie.nl/" TargetMode="External"/><Relationship Id="rId20" Type="http://schemas.openxmlformats.org/officeDocument/2006/relationships/hyperlink" Target="https://app.colonialcollections.nl/nl/research-aids/https%3A%2F%2Fn2t%252Enet%2Fark%3A%2F27023%2F3443ee68039071c8125b16cf2f813f6f" TargetMode="External"/><Relationship Id="rId21" Type="http://schemas.openxmlformats.org/officeDocument/2006/relationships/hyperlink" Target="mailto:loket.bronbeek@mindef.nl" TargetMode="External"/><Relationship Id="rId22" Type="http://schemas.openxmlformats.org/officeDocument/2006/relationships/hyperlink" Target="https://nimh-beeldbank.defensie.nl/" TargetMode="External"/><Relationship Id="rId23" Type="http://schemas.openxmlformats.org/officeDocument/2006/relationships/hyperlink" Target="https://nlme.nl/" TargetMode="External"/><Relationship Id="rId24" Type="http://schemas.openxmlformats.org/officeDocument/2006/relationships/hyperlink" Target="https://doi.org/10.1163/1878464X-01001006" TargetMode="External"/><Relationship Id="rId25" Type="http://schemas.openxmlformats.org/officeDocument/2006/relationships/hyperlink" Target="https://search.worldcat.org/title/907175634" TargetMode="External"/><Relationship Id="rId26" Type="http://schemas.openxmlformats.org/officeDocument/2006/relationships/hyperlink" Target="https://isbnsearch.org/isbn/9789057891526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