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and collections acquired in colonial situation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 je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