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 naar de Nederlandse koloniale gebieden. Tegenwoordig ligt de focus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volledige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(waaronder bijvoorbeeld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grote fotoverzameling), het doen van onderzoek naar 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en het publiceren van de onderzoeksresultaten in de 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de laatste zich uitsluitend 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onderzoek in en naar het (Nederlandse) Caraïbische gebied. Hoewel het KITLV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 op zowel de Nederlandse koloniën in Zuidoost-Azië en het Caraïbische gebied, lag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focus meer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Suriname en het Caraïbische gebied. In 1966 verhuisde het KITLV van Den Haag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Leiden, waar het een onderdeel van de universiteit ging uitmaken. Ondanks de dekolonisatie,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wellicht dankzij de verbeterde betrekkingen tussen Nederland en Indonesië in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'60, 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voor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4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vindbaar zijn met het kenmerk 'D 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'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bsite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illustreren.. Dit geldt ook voor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fotocollectie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delinge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Indonesi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pmuziek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ebben hun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igen website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Collecties;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Wetenschappen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universiteitsbibliotheek Leiden. Deze collectiegids geeft een uitgebreid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sectPr>
          <w:pgSz w:w="11900" w:h="16840"/>
          <w:pgMar w:top="324" w:right="96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2024-07-04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brill.com/view/journals/bki/bki-overview.xml" TargetMode="External"/><Relationship Id="rId25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