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Surinamerivier werd in 1651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een plantagekolonie gesticht. Aanleiding hiervoor was het Deze kolonie diende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uitbreiding van de suikerplantages op het kleine eiland Barbados.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werd in 1651 gekoloniseerd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die langs de oevers van de Surinamerivier uitbreiding zocht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suikerplantages op het kleine eiland Barbados AANPASSEN. In 1667 werd deze kolonie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Engels-Nederlandse Oorlog door een Zeeuwse vloot veroverd. In 1683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verkochten de Zeeuwen de kolonie aan de West-Indische Compagnie (WIC), waarna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Sociëteit van Suriname werd opgericht om de kolonie te besturen. Deze sociëteit had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gelijke verhoudingen de WIC, de familie Van Aerssen van Sommelsdijck en de stad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als aandeelhouders. Na. In 1954 aanvaardde Suriname samen met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het Statuut voor het Koninkrijk der Nederlanden.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Suriname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Test of wijzigingen doorkomen.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in buitenland. Jaren 30 Leon-Gontran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2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448" w:right="9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24" w:lineRule="exact" w:before="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2025-12-01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