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rlands Indies)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1820. This commission,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Buitenzorg),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tasked with seeking minerals and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 local fl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1839 to 1847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edited by C.J. Temminck, director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RNMH. After the dissolution of the commission in 1850, the publications, collected objects,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correspondence, etc. were included in the collection of the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Historie. The foundation of the present-day Naturalis collection is, thus, explicitly linked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past. Even after the Natuurkundige Commissie was disbanded, collectors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 and elsewhere were encouraged by the RMNH to continue making their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Mineralogy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collections of Amsterdam and Delft universities. Archives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ralis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1995 describing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former Nationaal Natuurhistorisch Museum from 1820 to 1958. Contains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