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Research Aids</w:t>
      </w:r>
    </w:p>
    <w:p>
      <w:pPr>
        <w:pStyle w:val="BodyText"/>
      </w:pPr>
    </w:p>
    <w:p>
      <w:pPr>
        <w:pStyle w:val="Heading1"/>
      </w:pPr>
      <w:r>
        <w:t>Research aids for conducting provenance research into colonial collections</w:t>
      </w:r>
    </w:p>
    <w:p>
      <w:pPr>
        <w:pStyle w:val="BodyText"/>
      </w:pPr>
    </w:p>
    <w:p>
      <w:pPr>
        <w:pStyle w:val="BodyText"/>
      </w:pPr>
      <w:r>
        <w:t>The research aids are constantly under construction and therefore subject to changes.</w:t>
      </w:r>
    </w:p>
    <w:p>
      <w:pPr>
        <w:pStyle w:val="BodyText"/>
      </w:pPr>
    </w:p>
    <w:p>
      <w:pPr>
        <w:pStyle w:val="BodyText"/>
      </w:pPr>
      <w:r>
        <w:t>On this page you can find various research aids that can assist you in doing (provenance) research on colonial collections. The research aids contain information about conducting research on objects that were acquired in a colonial context and which are currently part of museum collections in the Netherlands. Besides a brief description of the subject, the research aids provide specific research tips and references to relevant source material.</w:t>
      </w:r>
    </w:p>
    <w:p>
      <w:pPr>
        <w:pStyle w:val="BodyText"/>
      </w:pPr>
    </w:p>
    <w:p>
      <w:pPr>
        <w:pStyle w:val="BodyText"/>
      </w:pPr>
      <w:r>
        <w:t>We are curious about your thoughts on the digital research aids. Through this questionnaire you can provide us with feedback or additional information.</w:t>
      </w:r>
    </w:p>
    <w:p>
      <w:pPr>
        <w:pStyle w:val="BodyText"/>
      </w:pPr>
    </w:p>
    <w:p>
      <w:pPr>
        <w:pStyle w:val="BodyText"/>
      </w:pPr>
      <w:r>
        <w:t>_The Digital Research Aids are a project of the Consortium Colonial Collections. The research aids were created by researchers from the Expert Centre Restitution of the NIOD Institute for War, Holocaust and Genocide Studies._</w:t>
      </w:r>
    </w:p>
    <w:p>
      <w:pPr>
        <w:pStyle w:val="BodyText"/>
      </w:pPr>
    </w:p>
    <w:p>
      <w:pPr>
        <w:pStyle w:val="Heading2"/>
      </w:pPr>
      <w:r>
        <w:t>Provenance research into colonial collections</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 xml:space="preserve">         - [Select and delineate](niveau1/English/SelectAndDelineate_20240425.yml)</w:t>
              <w:br/>
            </w:r>
          </w:p>
        </w:tc>
      </w:tr>
    </w:tbl>
    <w:p>
      <w:pPr>
        <w:pStyle w:val="BodyText"/>
      </w:pPr>
    </w:p>
    <w:p>
      <w:pPr>
        <w:pStyle w:val="BodyText"/>
      </w:pPr>
      <w:r>
        <w:t>- Doing research</w:t>
        <w:br/>
        <w:t xml:space="preserve"> - Sources</w:t>
        <w:br/>
        <w:t xml:space="preserve"> - Reporting</w:t>
        <w:br/>
        <w:t xml:space="preserve"> - The Dutch restitution policy</w:t>
      </w:r>
    </w:p>
    <w:p>
      <w:pPr>
        <w:pStyle w:val="BodyText"/>
      </w:pPr>
    </w:p>
    <w:p>
      <w:pPr>
        <w:pStyle w:val="Heading2"/>
      </w:pPr>
      <w:r>
        <w:t>Themes and categories</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 xml:space="preserve">         - [Museums and collections](niveau2/English/Museum_20250113.yml)</w:t>
              <w:br/>
            </w:r>
          </w:p>
        </w:tc>
      </w:tr>
    </w:tbl>
    <w:p>
      <w:pPr>
        <w:pStyle w:val="BodyText"/>
      </w:pPr>
    </w:p>
    <w:p>
      <w:pPr>
        <w:pStyle w:val="BodyText"/>
      </w:pPr>
      <w:r>
        <w:t>- Civil servants in colonised territories</w:t>
        <w:br/>
        <w:t xml:space="preserve"> - The trade in objects from a colonial context</w:t>
        <w:br/>
        <w:t xml:space="preserve"> - Army and navy personnel in colonised territories</w:t>
        <w:br/>
        <w:t xml:space="preserve"> - Scientific research in colonised territories</w:t>
        <w:br/>
        <w:t xml:space="preserve"> - Christian missionaries in colonised territories</w:t>
      </w:r>
    </w:p>
    <w:p>
      <w:pPr>
        <w:pStyle w:val="BodyText"/>
      </w:pPr>
    </w:p>
    <w:p>
      <w:pPr>
        <w:pStyle w:val="Heading2"/>
      </w:pPr>
      <w:r>
        <w:t>Locations</w:t>
      </w:r>
    </w:p>
    <w:p>
      <w:pPr>
        <w:pStyle w:val="BodyText"/>
      </w:pPr>
    </w:p>
    <w:tbl>
      <w:tblPr>
        <w:tblStyle w:val="TableGrid"/>
        <w:tblW w:type="auto" w:w="0"/>
        <w:tblLook w:firstColumn="1" w:firstRow="1" w:lastColumn="0" w:lastRow="0" w:noHBand="0" w:noVBand="1" w:val="04A0"/>
      </w:tblPr>
      <w:tblGrid>
        <w:gridCol w:w="8640"/>
      </w:tblGrid>
      <w:tr>
        <w:tc>
          <w:tcPr>
            <w:tcW w:type="dxa" w:w="8640"/>
          </w:tcPr>
          <w:p>
            <w:r>
              <w:rPr>
                <w:rFonts w:ascii="Courier" w:hAnsi="Courier"/>
                <w:sz w:val="20"/>
              </w:rPr>
              <w:t xml:space="preserve">         - [Aruba, Bonaire and Curaçao](niveau2/English/ArubaBonaireCuracao_20250619.yml)</w:t>
              <w:br/>
            </w:r>
          </w:p>
        </w:tc>
      </w:tr>
    </w:tbl>
    <w:p>
      <w:pPr>
        <w:pStyle w:val="BodyText"/>
      </w:pPr>
    </w:p>
    <w:p>
      <w:pPr>
        <w:pStyle w:val="BodyText"/>
      </w:pPr>
      <w:r>
        <w:t>- Saba, Sint Eustatius and Sint Maarten</w:t>
        <w:br/>
        <w:t xml:space="preserve"> - Ghana</w:t>
      </w:r>
    </w:p>
    <w:p>
      <w:pPr>
        <w:pStyle w:val="BodyText"/>
      </w:pPr>
    </w:p>
    <w:p>
      <w:pPr>
        <w:pStyle w:val="BodyText"/>
      </w:pPr>
      <w:r>
        <w:t>_last edited by wiebe reints as original_author on 2024-06-06_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